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253D" w14:textId="77777777" w:rsidR="002F570E" w:rsidRPr="00AD7702" w:rsidRDefault="00594EF4" w:rsidP="00594EF4">
      <w:pPr>
        <w:pStyle w:val="Heading2SS"/>
      </w:pPr>
      <w:r>
        <w:t>SECTION 405</w:t>
      </w:r>
      <w:r w:rsidR="00AD7702" w:rsidRPr="00AD7702">
        <w:tab/>
        <w:t>-</w:t>
      </w:r>
      <w:r w:rsidR="00AD7702" w:rsidRPr="00AD7702">
        <w:tab/>
      </w:r>
      <w:r>
        <w:t>REGULATION GAP GRADED ASPHALT</w:t>
      </w:r>
      <w:r w:rsidR="002F570E" w:rsidRPr="001A5CA7">
        <w:rPr>
          <w:b w:val="0"/>
          <w:sz w:val="20"/>
          <w:szCs w:val="20"/>
        </w:rPr>
        <w:fldChar w:fldCharType="begin"/>
      </w:r>
      <w:r w:rsidR="002F570E" w:rsidRPr="001A5CA7">
        <w:rPr>
          <w:b w:val="0"/>
          <w:sz w:val="20"/>
          <w:szCs w:val="20"/>
        </w:rPr>
        <w:instrText>tc \l1 "SECTION 40</w:instrText>
      </w:r>
      <w:r w:rsidRPr="001A5CA7">
        <w:rPr>
          <w:b w:val="0"/>
          <w:sz w:val="20"/>
          <w:szCs w:val="20"/>
        </w:rPr>
        <w:instrText>5</w:instrText>
      </w:r>
      <w:r w:rsidR="00AD7702" w:rsidRPr="001A5CA7">
        <w:rPr>
          <w:b w:val="0"/>
          <w:sz w:val="20"/>
          <w:szCs w:val="20"/>
        </w:rPr>
        <w:instrText xml:space="preserve">  -  </w:instrText>
      </w:r>
      <w:r w:rsidRPr="001A5CA7">
        <w:rPr>
          <w:b w:val="0"/>
          <w:sz w:val="20"/>
          <w:szCs w:val="20"/>
        </w:rPr>
        <w:instrText>REGULATION GAP GRADED ASPHALT</w:instrText>
      </w:r>
      <w:r w:rsidR="002F570E" w:rsidRPr="001A5CA7">
        <w:rPr>
          <w:b w:val="0"/>
          <w:sz w:val="20"/>
          <w:szCs w:val="20"/>
        </w:rPr>
        <w:fldChar w:fldCharType="end"/>
      </w:r>
    </w:p>
    <w:p w14:paraId="3C266B1A" w14:textId="77777777" w:rsidR="002F570E" w:rsidRDefault="002F570E" w:rsidP="0092332A"/>
    <w:p w14:paraId="28E7AB66" w14:textId="77777777" w:rsidR="009A3C5E" w:rsidRDefault="009A3C5E" w:rsidP="0092332A"/>
    <w:p w14:paraId="5AA7318F" w14:textId="77777777" w:rsidR="00AB7726" w:rsidRPr="00DB5220" w:rsidRDefault="00AB7726" w:rsidP="00AB7726">
      <w:r w:rsidRPr="00DB5220">
        <w:t>##This section cross-references Section</w:t>
      </w:r>
      <w:r>
        <w:t xml:space="preserve"> 407.</w:t>
      </w:r>
    </w:p>
    <w:p w14:paraId="5B251C0E" w14:textId="77777777" w:rsidR="00AB7726" w:rsidRDefault="00AB7726" w:rsidP="00AB7726">
      <w:r>
        <w:t>If Section 407 is relevant, it should be included in the specification.</w:t>
      </w:r>
    </w:p>
    <w:p w14:paraId="39B22E83" w14:textId="77777777" w:rsidR="002F570E" w:rsidRDefault="00AB7726" w:rsidP="00AB7726">
      <w:r>
        <w:t>If Section 407 is not included in the specification, all references to it should be struck out, ensuring that the remaining text is still coherent:</w:t>
      </w:r>
    </w:p>
    <w:p w14:paraId="03AF20E0" w14:textId="77777777" w:rsidR="004F369D" w:rsidRDefault="004F369D" w:rsidP="0092332A"/>
    <w:p w14:paraId="708CD736" w14:textId="77777777" w:rsidR="002F570E" w:rsidRDefault="002F570E" w:rsidP="0092332A"/>
    <w:p w14:paraId="66292867" w14:textId="77777777" w:rsidR="009A3C5E" w:rsidRDefault="009A3C5E" w:rsidP="0092332A"/>
    <w:p w14:paraId="53FFE5F0" w14:textId="77777777" w:rsidR="002F570E" w:rsidRDefault="002F570E" w:rsidP="005B1798">
      <w:pPr>
        <w:pStyle w:val="Heading3SS"/>
      </w:pPr>
      <w:r>
        <w:t>40</w:t>
      </w:r>
      <w:r w:rsidR="00594EF4">
        <w:t>5</w:t>
      </w:r>
      <w:bookmarkStart w:id="0" w:name="np405"/>
      <w:bookmarkEnd w:id="0"/>
      <w:r>
        <w:t>.01</w:t>
      </w:r>
      <w:r>
        <w:tab/>
        <w:t>GENERAL</w:t>
      </w:r>
    </w:p>
    <w:p w14:paraId="1B24FEF5" w14:textId="77777777" w:rsidR="002F570E" w:rsidRDefault="002F570E" w:rsidP="0092332A"/>
    <w:p w14:paraId="7555BD84" w14:textId="77777777" w:rsidR="00F31D48" w:rsidRPr="003D1388" w:rsidRDefault="00F31D48" w:rsidP="00F31D48">
      <w:pPr>
        <w:widowControl w:val="0"/>
        <w:rPr>
          <w:szCs w:val="20"/>
        </w:rPr>
      </w:pPr>
      <w:r w:rsidRPr="003D1388">
        <w:rPr>
          <w:szCs w:val="20"/>
        </w:rPr>
        <w:t xml:space="preserve">This section shall be read in conjunction with Section 407 </w:t>
      </w:r>
      <w:r w:rsidRPr="003D1388">
        <w:rPr>
          <w:szCs w:val="20"/>
        </w:rPr>
        <w:noBreakHyphen/>
        <w:t xml:space="preserve"> Hot Mix Asphalt and covers special requirements for Regulation Gap Graded Asphalt (RGG) that are in addition to or override t</w:t>
      </w:r>
      <w:r>
        <w:rPr>
          <w:szCs w:val="20"/>
        </w:rPr>
        <w:t>he requirements of Section 407.</w:t>
      </w:r>
    </w:p>
    <w:p w14:paraId="755459DA" w14:textId="77777777" w:rsidR="002F570E" w:rsidRDefault="002F570E" w:rsidP="0092332A"/>
    <w:p w14:paraId="4007E56C" w14:textId="77777777" w:rsidR="002F570E" w:rsidRDefault="002F570E" w:rsidP="0092332A"/>
    <w:p w14:paraId="09F9495D" w14:textId="77777777" w:rsidR="002F570E" w:rsidRDefault="002F570E" w:rsidP="005B1798">
      <w:pPr>
        <w:pStyle w:val="Heading3SS"/>
      </w:pPr>
      <w:r>
        <w:t>40</w:t>
      </w:r>
      <w:r w:rsidR="00B63A95">
        <w:t>5</w:t>
      </w:r>
      <w:r>
        <w:t>.02</w:t>
      </w:r>
      <w:r>
        <w:tab/>
      </w:r>
      <w:r w:rsidR="00B63A95">
        <w:t>AGGREGATES</w:t>
      </w:r>
    </w:p>
    <w:p w14:paraId="3B802231" w14:textId="77777777" w:rsidR="002F570E" w:rsidRDefault="002F570E" w:rsidP="00106E96"/>
    <w:p w14:paraId="3DAC8E7D" w14:textId="77777777" w:rsidR="00B63A95" w:rsidRPr="003D1388" w:rsidRDefault="00B63A95" w:rsidP="00B63A95">
      <w:pPr>
        <w:widowControl w:val="0"/>
        <w:rPr>
          <w:szCs w:val="20"/>
        </w:rPr>
      </w:pPr>
      <w:r w:rsidRPr="003D1388">
        <w:rPr>
          <w:szCs w:val="20"/>
        </w:rPr>
        <w:t xml:space="preserve">The properties of the aggregates used in RGG shall comply with the requirements for Type H asphalt </w:t>
      </w:r>
      <w:r>
        <w:rPr>
          <w:szCs w:val="20"/>
        </w:rPr>
        <w:t xml:space="preserve">as specified in </w:t>
      </w:r>
      <w:r w:rsidR="00B30F16">
        <w:rPr>
          <w:szCs w:val="20"/>
        </w:rPr>
        <w:t>clause</w:t>
      </w:r>
      <w:r>
        <w:rPr>
          <w:szCs w:val="20"/>
        </w:rPr>
        <w:t> 407.03.</w:t>
      </w:r>
      <w:r w:rsidR="00176084">
        <w:rPr>
          <w:szCs w:val="20"/>
        </w:rPr>
        <w:t xml:space="preserve">  </w:t>
      </w:r>
      <w:r w:rsidR="00176084" w:rsidRPr="00BB62B3">
        <w:t xml:space="preserve">Reclaimed Asphalt Pavement (RAP) may be recycled by adding it to new asphalt during the mixing process subject to </w:t>
      </w:r>
      <w:r w:rsidR="00176084">
        <w:t xml:space="preserve">meeting the </w:t>
      </w:r>
      <w:r w:rsidR="00176084" w:rsidRPr="00BB62B3">
        <w:t>requirements</w:t>
      </w:r>
      <w:r w:rsidR="00176084">
        <w:t xml:space="preserve"> specified in </w:t>
      </w:r>
      <w:r w:rsidR="00B30F16">
        <w:t>clause</w:t>
      </w:r>
      <w:r w:rsidR="00176084">
        <w:t xml:space="preserve"> 407.09(a). </w:t>
      </w:r>
      <w:r w:rsidR="00176084">
        <w:rPr>
          <w:szCs w:val="20"/>
        </w:rPr>
        <w:t xml:space="preserve"> The use of RAP in this asphalt mix is permitted however it is limited to the addition of up to 10% RAP.</w:t>
      </w:r>
    </w:p>
    <w:p w14:paraId="1FE31F56" w14:textId="77777777" w:rsidR="002F570E" w:rsidRDefault="002F570E" w:rsidP="00106E96"/>
    <w:p w14:paraId="6735FC7C" w14:textId="77777777" w:rsidR="002F570E" w:rsidRDefault="002F570E" w:rsidP="00106E96"/>
    <w:p w14:paraId="1D23FD83" w14:textId="77777777" w:rsidR="002F570E" w:rsidRDefault="002F570E" w:rsidP="005B1798">
      <w:pPr>
        <w:pStyle w:val="Heading3SS"/>
      </w:pPr>
      <w:r>
        <w:t>40</w:t>
      </w:r>
      <w:r w:rsidR="00770848">
        <w:t>5</w:t>
      </w:r>
      <w:r>
        <w:t>.03</w:t>
      </w:r>
      <w:r>
        <w:tab/>
      </w:r>
      <w:r w:rsidR="00770848">
        <w:t>BINDER</w:t>
      </w:r>
    </w:p>
    <w:p w14:paraId="08C1439D" w14:textId="77777777" w:rsidR="002F570E" w:rsidRDefault="002F570E" w:rsidP="00106E96"/>
    <w:p w14:paraId="794B9A46" w14:textId="77777777" w:rsidR="004F77FE" w:rsidRPr="003D1388" w:rsidRDefault="004F77FE" w:rsidP="004F77FE">
      <w:pPr>
        <w:widowControl w:val="0"/>
        <w:rPr>
          <w:szCs w:val="20"/>
        </w:rPr>
      </w:pPr>
      <w:r w:rsidRPr="003D1388">
        <w:rPr>
          <w:szCs w:val="20"/>
        </w:rPr>
        <w:t>Binder used in R</w:t>
      </w:r>
      <w:r>
        <w:rPr>
          <w:szCs w:val="20"/>
        </w:rPr>
        <w:t>GG shall be Class </w:t>
      </w:r>
      <w:r w:rsidRPr="003D1388">
        <w:rPr>
          <w:szCs w:val="20"/>
        </w:rPr>
        <w:t>320 bitumen in accordance with Section</w:t>
      </w:r>
      <w:r>
        <w:rPr>
          <w:szCs w:val="20"/>
        </w:rPr>
        <w:t> </w:t>
      </w:r>
      <w:r w:rsidRPr="003D1388">
        <w:rPr>
          <w:szCs w:val="20"/>
        </w:rPr>
        <w:t>407.</w:t>
      </w:r>
    </w:p>
    <w:p w14:paraId="646A7121" w14:textId="77777777" w:rsidR="002F570E" w:rsidRDefault="002F570E" w:rsidP="00106E96"/>
    <w:p w14:paraId="6282E903" w14:textId="77777777" w:rsidR="00652C97" w:rsidRDefault="00652C97" w:rsidP="00106E96"/>
    <w:p w14:paraId="5331F2C1" w14:textId="77777777" w:rsidR="002F570E" w:rsidRPr="00E34F8D" w:rsidRDefault="002F570E" w:rsidP="00E34F8D">
      <w:pPr>
        <w:pStyle w:val="Heading3SS"/>
      </w:pPr>
      <w:r w:rsidRPr="00E34F8D">
        <w:t>40</w:t>
      </w:r>
      <w:r w:rsidR="00E34F8D" w:rsidRPr="00E34F8D">
        <w:t>5</w:t>
      </w:r>
      <w:r w:rsidRPr="00E34F8D">
        <w:t>.0</w:t>
      </w:r>
      <w:r w:rsidR="00E34F8D" w:rsidRPr="00E34F8D">
        <w:t>4</w:t>
      </w:r>
      <w:r w:rsidRPr="00E34F8D">
        <w:tab/>
        <w:t>MIX DESIGN</w:t>
      </w:r>
    </w:p>
    <w:p w14:paraId="3E3AA7B6" w14:textId="77777777" w:rsidR="002F570E" w:rsidRDefault="002F570E" w:rsidP="00D33F7D"/>
    <w:p w14:paraId="6B40C389" w14:textId="77777777" w:rsidR="00E34F8D" w:rsidRPr="003D1388" w:rsidRDefault="00E34F8D" w:rsidP="00E34F8D">
      <w:pPr>
        <w:widowControl w:val="0"/>
        <w:rPr>
          <w:szCs w:val="20"/>
        </w:rPr>
      </w:pPr>
      <w:r w:rsidRPr="003D1388">
        <w:rPr>
          <w:szCs w:val="20"/>
        </w:rPr>
        <w:t xml:space="preserve">The mix to be used shall be a VicRoads registered mix and shall comply with the requirements of </w:t>
      </w:r>
      <w:r w:rsidR="00B30F16">
        <w:rPr>
          <w:szCs w:val="20"/>
        </w:rPr>
        <w:t>clause</w:t>
      </w:r>
      <w:r w:rsidRPr="003D1388">
        <w:rPr>
          <w:szCs w:val="20"/>
        </w:rPr>
        <w:t> 407.06.</w:t>
      </w:r>
      <w:r>
        <w:rPr>
          <w:szCs w:val="20"/>
        </w:rPr>
        <w:t xml:space="preserve">  </w:t>
      </w:r>
      <w:r w:rsidRPr="003D1388">
        <w:rPr>
          <w:szCs w:val="20"/>
        </w:rPr>
        <w:t>The Indirect Tensile Modulus of the mix is not required to be submitted.</w:t>
      </w:r>
    </w:p>
    <w:p w14:paraId="2E9A577B" w14:textId="77777777" w:rsidR="00E34F8D" w:rsidRDefault="00E34F8D" w:rsidP="00D33F7D"/>
    <w:p w14:paraId="721AD522" w14:textId="77777777" w:rsidR="00E34F8D" w:rsidRDefault="00E34F8D" w:rsidP="00D33F7D"/>
    <w:p w14:paraId="0A6F7630" w14:textId="77777777" w:rsidR="002F570E" w:rsidRDefault="002F570E" w:rsidP="005B1798">
      <w:pPr>
        <w:pStyle w:val="Heading3SS"/>
      </w:pPr>
      <w:r>
        <w:t>40</w:t>
      </w:r>
      <w:r w:rsidR="00B13FCE">
        <w:t>5.05</w:t>
      </w:r>
      <w:r w:rsidR="00B13FCE">
        <w:tab/>
      </w:r>
      <w:r>
        <w:t xml:space="preserve">MIX </w:t>
      </w:r>
      <w:smartTag w:uri="schemas-praxa-com/sth" w:element="ST7">
        <w:smartTagPr>
          <w:attr w:name="anchor" w:val="C_SECTION3070_DESIGNREQUIREMENTS"/>
          <w:attr w:name="id" w:val="ST7"/>
          <w:attr w:name="name" w:val="Section3070_HelpFile"/>
          <w:attr w:name="url" w:val="file:///Q:/Major%20Project%20Support%20Staff/DanHoyne/Projects/Online%20Help/VicRoads_Online%20Help%20Project/HTM_Helpfiles/SECTION%203070_HelpFile.htm"/>
        </w:smartTagPr>
        <w:r>
          <w:t>DESIGN REQUIREMENTS</w:t>
        </w:r>
      </w:smartTag>
    </w:p>
    <w:p w14:paraId="7115B43A" w14:textId="77777777" w:rsidR="002F570E" w:rsidRDefault="002F570E" w:rsidP="00022886"/>
    <w:p w14:paraId="68AFF606" w14:textId="77777777" w:rsidR="002F570E" w:rsidRDefault="002F570E" w:rsidP="00275D0E">
      <w:pPr>
        <w:tabs>
          <w:tab w:val="left" w:pos="454"/>
        </w:tabs>
        <w:ind w:left="454" w:hanging="454"/>
      </w:pPr>
      <w:r>
        <w:t>(a)</w:t>
      </w:r>
      <w:r>
        <w:tab/>
        <w:t xml:space="preserve">The grading </w:t>
      </w:r>
      <w:r w:rsidR="00250587" w:rsidRPr="00D07286">
        <w:t>limits</w:t>
      </w:r>
      <w:r w:rsidR="000363F1">
        <w:t xml:space="preserve"> </w:t>
      </w:r>
      <w:r>
        <w:t>in the job mix shall lie within t</w:t>
      </w:r>
      <w:r w:rsidR="00B13FCE">
        <w:t>he limits specified in Table 405</w:t>
      </w:r>
      <w:r>
        <w:t>.0</w:t>
      </w:r>
      <w:r w:rsidR="00B13FCE">
        <w:t>5</w:t>
      </w:r>
      <w:r>
        <w:t>1 below:</w:t>
      </w:r>
    </w:p>
    <w:p w14:paraId="417E462E" w14:textId="77777777" w:rsidR="002F570E" w:rsidRPr="00275D0E" w:rsidRDefault="00824026" w:rsidP="00E73395">
      <w:pPr>
        <w:spacing w:before="160" w:after="60"/>
        <w:ind w:left="1418"/>
        <w:rPr>
          <w:b/>
        </w:rPr>
      </w:pPr>
      <w:r w:rsidRPr="00275D0E">
        <w:rPr>
          <w:b/>
        </w:rPr>
        <w:t>Table 405.05</w:t>
      </w:r>
      <w:r w:rsidR="002F570E" w:rsidRPr="00275D0E">
        <w:rPr>
          <w:b/>
        </w:rPr>
        <w:t>1</w:t>
      </w:r>
      <w:r w:rsidR="006C6C8E">
        <w:rPr>
          <w:b/>
        </w:rPr>
        <w:t xml:space="preserve"> </w:t>
      </w:r>
      <w:r w:rsidR="00250587" w:rsidRPr="00275D0E">
        <w:rPr>
          <w:b/>
        </w:rPr>
        <w:t xml:space="preserve"> Grading Limits for Aggregates</w:t>
      </w:r>
      <w:r w:rsidR="00612296" w:rsidRPr="00275D0E">
        <w:rPr>
          <w:b/>
        </w:rPr>
        <w:t xml:space="preserve"> (including any filler)</w:t>
      </w:r>
    </w:p>
    <w:tbl>
      <w:tblPr>
        <w:tblW w:w="0" w:type="auto"/>
        <w:tblInd w:w="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81"/>
        <w:gridCol w:w="2268"/>
      </w:tblGrid>
      <w:tr w:rsidR="00824026" w:rsidRPr="007656AE" w14:paraId="519359AC" w14:textId="77777777" w:rsidTr="00E73395">
        <w:trPr>
          <w:cantSplit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7322C" w14:textId="77777777" w:rsidR="00824026" w:rsidRPr="007656AE" w:rsidRDefault="00824026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Sieve Size</w:t>
            </w:r>
          </w:p>
          <w:p w14:paraId="402C8532" w14:textId="77777777" w:rsidR="00824026" w:rsidRPr="007656AE" w:rsidRDefault="00824026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Australian Standards</w:t>
            </w:r>
          </w:p>
          <w:p w14:paraId="06FEA662" w14:textId="77777777" w:rsidR="00824026" w:rsidRPr="007656AE" w:rsidRDefault="00824026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(mm)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1C18F" w14:textId="77777777" w:rsidR="00824026" w:rsidRPr="007656AE" w:rsidRDefault="00824026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Percentage Passing</w:t>
            </w:r>
          </w:p>
          <w:p w14:paraId="5FAB817C" w14:textId="77777777" w:rsidR="00824026" w:rsidRPr="007656AE" w:rsidRDefault="00824026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(by mass)</w:t>
            </w:r>
          </w:p>
        </w:tc>
      </w:tr>
      <w:tr w:rsidR="00824026" w:rsidRPr="007656AE" w14:paraId="1049B459" w14:textId="77777777" w:rsidTr="00E73395">
        <w:trPr>
          <w:cantSplit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3FD58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9.5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7AD4FC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100</w:t>
            </w:r>
          </w:p>
        </w:tc>
      </w:tr>
      <w:tr w:rsidR="00824026" w:rsidRPr="007656AE" w14:paraId="18B6FDFC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769863EA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6.7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F3E00F1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90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100</w:t>
            </w:r>
          </w:p>
        </w:tc>
      </w:tr>
      <w:tr w:rsidR="00824026" w:rsidRPr="007656AE" w14:paraId="7CADC265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3F3A7D9F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4.75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1F204C5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72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84</w:t>
            </w:r>
          </w:p>
        </w:tc>
      </w:tr>
      <w:tr w:rsidR="00824026" w:rsidRPr="007656AE" w14:paraId="44CB5E79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31078BD0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2.36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98B6C6E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39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49</w:t>
            </w:r>
          </w:p>
        </w:tc>
      </w:tr>
      <w:tr w:rsidR="00824026" w:rsidRPr="007656AE" w14:paraId="2CD3A1B6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48F42FBC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1.18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AD808BA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27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37</w:t>
            </w:r>
          </w:p>
        </w:tc>
      </w:tr>
      <w:tr w:rsidR="00824026" w:rsidRPr="007656AE" w14:paraId="0F25AB77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4DEF8A4C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0.600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99974E0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21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31</w:t>
            </w:r>
          </w:p>
        </w:tc>
      </w:tr>
      <w:tr w:rsidR="00824026" w:rsidRPr="007656AE" w14:paraId="73831C1D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332FB1E6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0.300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7C88AD6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17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23</w:t>
            </w:r>
          </w:p>
        </w:tc>
      </w:tr>
      <w:tr w:rsidR="00824026" w:rsidRPr="007656AE" w14:paraId="27FCAED9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</w:tcBorders>
            <w:vAlign w:val="center"/>
          </w:tcPr>
          <w:p w14:paraId="07DA85B7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0.150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4876A6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9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15</w:t>
            </w:r>
          </w:p>
        </w:tc>
      </w:tr>
      <w:tr w:rsidR="00824026" w:rsidRPr="007656AE" w14:paraId="7ECB09C2" w14:textId="77777777" w:rsidTr="00E73395">
        <w:trPr>
          <w:cantSplit/>
        </w:trPr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CC8DEE" w14:textId="77777777" w:rsidR="00824026" w:rsidRPr="007656AE" w:rsidRDefault="00824026" w:rsidP="007656AE">
            <w:pPr>
              <w:widowControl w:val="0"/>
              <w:tabs>
                <w:tab w:val="decimal" w:pos="685"/>
              </w:tabs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>0.075</w:t>
            </w:r>
            <w:r w:rsidR="001A5CA7" w:rsidRPr="007656AE">
              <w:rPr>
                <w:szCs w:val="20"/>
              </w:rPr>
              <w:tab/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6DA7CB" w14:textId="77777777" w:rsidR="00824026" w:rsidRPr="007656AE" w:rsidRDefault="00824026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6 </w:t>
            </w:r>
            <w:r w:rsidR="001A5CA7" w:rsidRPr="007656AE">
              <w:rPr>
                <w:szCs w:val="20"/>
              </w:rPr>
              <w:t>-</w:t>
            </w:r>
            <w:r w:rsidRPr="007656AE">
              <w:rPr>
                <w:szCs w:val="20"/>
              </w:rPr>
              <w:t xml:space="preserve"> 12</w:t>
            </w:r>
          </w:p>
        </w:tc>
      </w:tr>
    </w:tbl>
    <w:p w14:paraId="4E4250C9" w14:textId="77777777" w:rsidR="002F570E" w:rsidRDefault="002F570E" w:rsidP="00B406B8"/>
    <w:p w14:paraId="61220BDB" w14:textId="77777777" w:rsidR="00B406B8" w:rsidRDefault="00116DC7" w:rsidP="00B406B8">
      <w:r>
        <w:rPr>
          <w:noProof/>
          <w:lang w:eastAsia="en-AU"/>
        </w:rPr>
        <w:pict w14:anchorId="6EF8486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779.65pt;width:481.9pt;height:36.85pt;z-index:-251659264;mso-wrap-distance-top:5.65pt;mso-position-horizontal:center;mso-position-horizontal-relative:page;mso-position-vertical-relative:page" stroked="f">
            <v:textbox style="mso-next-textbox:#_x0000_s1038" inset="0,,0">
              <w:txbxContent>
                <w:p w14:paraId="5DC730C1" w14:textId="77777777" w:rsidR="005E6539" w:rsidRDefault="005E6539" w:rsidP="001368CB">
                  <w:pPr>
                    <w:pBdr>
                      <w:top w:val="single" w:sz="6" w:space="1" w:color="000000"/>
                    </w:pBdr>
                    <w:spacing w:line="60" w:lineRule="exact"/>
                    <w:jc w:val="right"/>
                    <w:rPr>
                      <w:b/>
                    </w:rPr>
                  </w:pPr>
                </w:p>
                <w:p w14:paraId="3DA63401" w14:textId="6332949E" w:rsidR="005E6539" w:rsidRDefault="005E6539" w:rsidP="001368CB">
                  <w:pPr>
                    <w:pBdr>
                      <w:top w:val="single" w:sz="6" w:space="1" w:color="000000"/>
                    </w:pBdr>
                    <w:jc w:val="right"/>
                  </w:pPr>
                  <w:r>
                    <w:rPr>
                      <w:b/>
                    </w:rPr>
                    <w:t>©</w:t>
                  </w:r>
                  <w:r>
                    <w:t xml:space="preserve"> </w:t>
                  </w:r>
                  <w:r w:rsidR="00116DC7">
                    <w:t>Department of Transport</w:t>
                  </w:r>
                  <w:r>
                    <w:t xml:space="preserve">  </w:t>
                  </w:r>
                  <w:r w:rsidR="00653E67">
                    <w:t>June 2014</w:t>
                  </w:r>
                </w:p>
                <w:p w14:paraId="2C25E6AD" w14:textId="77777777" w:rsidR="005E6539" w:rsidRDefault="005E6539" w:rsidP="001368CB">
                  <w:pPr>
                    <w:jc w:val="right"/>
                  </w:pPr>
                  <w:r>
                    <w:t>Section 405 (Page 1 of 2)</w:t>
                  </w:r>
                </w:p>
                <w:p w14:paraId="450F4C4B" w14:textId="77777777" w:rsidR="005E6539" w:rsidRDefault="005E6539" w:rsidP="001368CB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  <w:r w:rsidR="00BD0BEF">
        <w:br w:type="page"/>
      </w:r>
    </w:p>
    <w:p w14:paraId="722DAC6B" w14:textId="77777777" w:rsidR="002F570E" w:rsidRDefault="00FC68E4" w:rsidP="005E6539">
      <w:pPr>
        <w:tabs>
          <w:tab w:val="left" w:pos="454"/>
        </w:tabs>
        <w:ind w:left="454" w:hanging="454"/>
      </w:pPr>
      <w:r>
        <w:t>(b)</w:t>
      </w:r>
      <w:r>
        <w:tab/>
      </w:r>
      <w:r w:rsidR="0003423D" w:rsidRPr="003D1388">
        <w:rPr>
          <w:szCs w:val="20"/>
        </w:rPr>
        <w:t>The proportions of bitumen, air voids and aggregates and filler shall lie within the limits shown in Table 405.052 below:</w:t>
      </w:r>
    </w:p>
    <w:p w14:paraId="5D3C793C" w14:textId="77777777" w:rsidR="002F570E" w:rsidRPr="005E6539" w:rsidRDefault="002F570E" w:rsidP="00E73395">
      <w:pPr>
        <w:spacing w:before="160" w:after="60"/>
        <w:ind w:left="1928"/>
        <w:rPr>
          <w:b/>
        </w:rPr>
      </w:pPr>
      <w:r w:rsidRPr="005E6539">
        <w:rPr>
          <w:b/>
        </w:rPr>
        <w:t>Table 40</w:t>
      </w:r>
      <w:r w:rsidR="0003423D" w:rsidRPr="005E6539">
        <w:rPr>
          <w:b/>
        </w:rPr>
        <w:t>5</w:t>
      </w:r>
      <w:r w:rsidRPr="005E6539">
        <w:rPr>
          <w:b/>
        </w:rPr>
        <w:t>.0</w:t>
      </w:r>
      <w:r w:rsidR="0003423D" w:rsidRPr="005E6539">
        <w:rPr>
          <w:b/>
        </w:rPr>
        <w:t>5</w:t>
      </w:r>
      <w:r w:rsidR="00612296" w:rsidRPr="005E6539">
        <w:rPr>
          <w:b/>
        </w:rPr>
        <w:t>2</w:t>
      </w:r>
      <w:r w:rsidR="00B406B8" w:rsidRPr="005E6539">
        <w:rPr>
          <w:b/>
        </w:rPr>
        <w:t xml:space="preserve">  </w:t>
      </w:r>
      <w:r w:rsidR="00612296" w:rsidRPr="005E6539">
        <w:rPr>
          <w:b/>
        </w:rPr>
        <w:t xml:space="preserve">Proportions </w:t>
      </w:r>
      <w:r w:rsidR="005B1798" w:rsidRPr="005E6539">
        <w:rPr>
          <w:b/>
        </w:rPr>
        <w:t>of</w:t>
      </w:r>
      <w:r w:rsidR="00612296" w:rsidRPr="005E6539">
        <w:rPr>
          <w:b/>
        </w:rPr>
        <w:t xml:space="preserve"> Bi</w:t>
      </w:r>
      <w:r w:rsidR="0003423D" w:rsidRPr="005E6539">
        <w:rPr>
          <w:b/>
        </w:rPr>
        <w:t>tumen</w:t>
      </w:r>
      <w:r w:rsidR="00612296" w:rsidRPr="005E6539">
        <w:rPr>
          <w:b/>
        </w:rPr>
        <w:t xml:space="preserve"> and </w:t>
      </w:r>
      <w:r w:rsidR="0003423D" w:rsidRPr="005E6539">
        <w:rPr>
          <w:b/>
        </w:rPr>
        <w:t>Air Voids</w:t>
      </w: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bottom w:w="57" w:type="dxa"/>
        </w:tblCellMar>
        <w:tblLook w:val="01E0" w:firstRow="1" w:lastRow="1" w:firstColumn="1" w:lastColumn="1" w:noHBand="0" w:noVBand="0"/>
      </w:tblPr>
      <w:tblGrid>
        <w:gridCol w:w="1754"/>
        <w:gridCol w:w="1717"/>
      </w:tblGrid>
      <w:tr w:rsidR="00F92804" w:rsidRPr="007656AE" w14:paraId="782EFC1C" w14:textId="77777777" w:rsidTr="00E73395">
        <w:trPr>
          <w:cantSplit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3D014" w14:textId="77777777" w:rsidR="00F92804" w:rsidRPr="007656AE" w:rsidRDefault="00F92804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Material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294F0" w14:textId="77777777" w:rsidR="00F92804" w:rsidRPr="007656AE" w:rsidRDefault="00F92804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Percentage</w:t>
            </w:r>
          </w:p>
          <w:p w14:paraId="682896D3" w14:textId="77777777" w:rsidR="00F92804" w:rsidRPr="007656AE" w:rsidRDefault="00F92804" w:rsidP="007656AE">
            <w:pPr>
              <w:widowControl w:val="0"/>
              <w:jc w:val="center"/>
              <w:rPr>
                <w:b/>
                <w:szCs w:val="20"/>
              </w:rPr>
            </w:pPr>
            <w:r w:rsidRPr="007656AE">
              <w:rPr>
                <w:b/>
                <w:szCs w:val="20"/>
              </w:rPr>
              <w:t>(by mass)</w:t>
            </w:r>
          </w:p>
        </w:tc>
      </w:tr>
      <w:tr w:rsidR="00F92804" w:rsidRPr="007656AE" w14:paraId="68E2DB23" w14:textId="77777777" w:rsidTr="00E73395">
        <w:trPr>
          <w:cantSplit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AA7BF" w14:textId="77777777" w:rsidR="00F92804" w:rsidRPr="007656AE" w:rsidRDefault="005E6539" w:rsidP="007656AE">
            <w:pPr>
              <w:widowControl w:val="0"/>
              <w:rPr>
                <w:szCs w:val="20"/>
              </w:rPr>
            </w:pPr>
            <w:r w:rsidRPr="007656AE">
              <w:rPr>
                <w:szCs w:val="20"/>
              </w:rPr>
              <w:t>Binder Content</w:t>
            </w:r>
          </w:p>
        </w:tc>
        <w:tc>
          <w:tcPr>
            <w:tcW w:w="1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5221AF" w14:textId="77777777" w:rsidR="00F92804" w:rsidRPr="007656AE" w:rsidRDefault="00F92804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5.7 </w:t>
            </w:r>
            <w:r w:rsidR="001A5CA7" w:rsidRPr="007656AE">
              <w:rPr>
                <w:szCs w:val="20"/>
              </w:rPr>
              <w:t>–</w:t>
            </w:r>
            <w:r w:rsidRPr="007656AE">
              <w:rPr>
                <w:szCs w:val="20"/>
              </w:rPr>
              <w:t xml:space="preserve"> 6.3</w:t>
            </w:r>
          </w:p>
        </w:tc>
      </w:tr>
      <w:tr w:rsidR="00F92804" w:rsidRPr="007656AE" w14:paraId="1DDA9D82" w14:textId="77777777" w:rsidTr="00E73395">
        <w:trPr>
          <w:cantSplit/>
        </w:trPr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FDC021" w14:textId="77777777" w:rsidR="00F92804" w:rsidRPr="007656AE" w:rsidRDefault="00F92804" w:rsidP="007656AE">
            <w:pPr>
              <w:widowControl w:val="0"/>
              <w:rPr>
                <w:szCs w:val="20"/>
              </w:rPr>
            </w:pPr>
            <w:r w:rsidRPr="007656AE">
              <w:rPr>
                <w:szCs w:val="20"/>
              </w:rPr>
              <w:t>Air Voids</w:t>
            </w:r>
          </w:p>
        </w:tc>
        <w:tc>
          <w:tcPr>
            <w:tcW w:w="17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C099D6" w14:textId="77777777" w:rsidR="00F92804" w:rsidRPr="007656AE" w:rsidRDefault="00F92804" w:rsidP="007656AE">
            <w:pPr>
              <w:widowControl w:val="0"/>
              <w:jc w:val="center"/>
              <w:rPr>
                <w:szCs w:val="20"/>
              </w:rPr>
            </w:pPr>
            <w:r w:rsidRPr="007656AE">
              <w:rPr>
                <w:szCs w:val="20"/>
              </w:rPr>
              <w:t xml:space="preserve">2 </w:t>
            </w:r>
            <w:r w:rsidR="001A5CA7" w:rsidRPr="007656AE">
              <w:rPr>
                <w:szCs w:val="20"/>
              </w:rPr>
              <w:t>–</w:t>
            </w:r>
            <w:r w:rsidRPr="007656AE">
              <w:rPr>
                <w:szCs w:val="20"/>
              </w:rPr>
              <w:t xml:space="preserve"> 5</w:t>
            </w:r>
          </w:p>
        </w:tc>
      </w:tr>
    </w:tbl>
    <w:p w14:paraId="66D933E1" w14:textId="77777777" w:rsidR="002F570E" w:rsidRDefault="002F570E" w:rsidP="00B406B8"/>
    <w:p w14:paraId="35A82CA9" w14:textId="77777777" w:rsidR="002F570E" w:rsidRDefault="002F570E" w:rsidP="004B30D6"/>
    <w:p w14:paraId="0FC614C8" w14:textId="77777777" w:rsidR="002F570E" w:rsidRDefault="002F570E" w:rsidP="005B1798">
      <w:pPr>
        <w:pStyle w:val="Heading3SS"/>
      </w:pPr>
      <w:r>
        <w:t>40</w:t>
      </w:r>
      <w:r w:rsidR="00D372EC">
        <w:t>5</w:t>
      </w:r>
      <w:r>
        <w:t>.0</w:t>
      </w:r>
      <w:r w:rsidR="00D372EC">
        <w:t>6</w:t>
      </w:r>
      <w:r>
        <w:tab/>
      </w:r>
      <w:r w:rsidR="00D372EC">
        <w:t>FREQUENCY OF INSPECTION AND TESTING AT THE MIXING PLANT</w:t>
      </w:r>
    </w:p>
    <w:p w14:paraId="3D17F7C6" w14:textId="77777777" w:rsidR="002F570E" w:rsidRDefault="002F570E" w:rsidP="004B30D6"/>
    <w:p w14:paraId="5B894CD5" w14:textId="77777777" w:rsidR="00994ADF" w:rsidRPr="003D1388" w:rsidRDefault="00994ADF" w:rsidP="00994ADF">
      <w:pPr>
        <w:widowControl w:val="0"/>
        <w:rPr>
          <w:szCs w:val="20"/>
        </w:rPr>
      </w:pPr>
      <w:r w:rsidRPr="003D1388">
        <w:rPr>
          <w:szCs w:val="20"/>
        </w:rPr>
        <w:t>The production tolerances on the grading aim of the mix before compaction shall be as specified for Size</w:t>
      </w:r>
      <w:r>
        <w:rPr>
          <w:szCs w:val="20"/>
        </w:rPr>
        <w:t> </w:t>
      </w:r>
      <w:r w:rsidRPr="003D1388">
        <w:rPr>
          <w:szCs w:val="20"/>
        </w:rPr>
        <w:t>7</w:t>
      </w:r>
      <w:r>
        <w:rPr>
          <w:szCs w:val="20"/>
        </w:rPr>
        <w:t> </w:t>
      </w:r>
      <w:r w:rsidRPr="003D1388">
        <w:rPr>
          <w:szCs w:val="20"/>
        </w:rPr>
        <w:t>mm in Table</w:t>
      </w:r>
      <w:r>
        <w:rPr>
          <w:szCs w:val="20"/>
        </w:rPr>
        <w:t> </w:t>
      </w:r>
      <w:r w:rsidRPr="003D1388">
        <w:rPr>
          <w:szCs w:val="20"/>
        </w:rPr>
        <w:t xml:space="preserve">407.071. </w:t>
      </w:r>
      <w:r>
        <w:rPr>
          <w:szCs w:val="20"/>
        </w:rPr>
        <w:t xml:space="preserve"> </w:t>
      </w:r>
      <w:r w:rsidRPr="003D1388">
        <w:rPr>
          <w:szCs w:val="20"/>
        </w:rPr>
        <w:t xml:space="preserve">The frequency of inspection and testing at the mixing plant shall be in accordance with </w:t>
      </w:r>
      <w:r w:rsidR="00B30F16">
        <w:rPr>
          <w:szCs w:val="20"/>
        </w:rPr>
        <w:t>clause</w:t>
      </w:r>
      <w:r>
        <w:rPr>
          <w:szCs w:val="20"/>
        </w:rPr>
        <w:t> </w:t>
      </w:r>
      <w:r w:rsidRPr="003D1388">
        <w:rPr>
          <w:szCs w:val="20"/>
        </w:rPr>
        <w:t>407.10.</w:t>
      </w:r>
    </w:p>
    <w:p w14:paraId="3D55626B" w14:textId="77777777" w:rsidR="002F570E" w:rsidRPr="004B30D6" w:rsidRDefault="002F570E" w:rsidP="004B30D6"/>
    <w:p w14:paraId="0FAD70F3" w14:textId="77777777" w:rsidR="002F570E" w:rsidRDefault="002F570E" w:rsidP="004B30D6"/>
    <w:p w14:paraId="0BD2D819" w14:textId="77777777" w:rsidR="002F570E" w:rsidRDefault="002F570E" w:rsidP="005B1798">
      <w:pPr>
        <w:pStyle w:val="Heading3SS"/>
      </w:pPr>
      <w:r>
        <w:t>40</w:t>
      </w:r>
      <w:r w:rsidR="00EC765C">
        <w:t>5.07</w:t>
      </w:r>
      <w:r>
        <w:tab/>
      </w:r>
      <w:r w:rsidR="00EC765C">
        <w:t>CONDITIONS FOR PLACING</w:t>
      </w:r>
    </w:p>
    <w:p w14:paraId="32B8E4F0" w14:textId="77777777" w:rsidR="002F570E" w:rsidRDefault="002F570E" w:rsidP="004B30D6"/>
    <w:p w14:paraId="7A33AB51" w14:textId="77777777" w:rsidR="00085456" w:rsidRPr="003D1388" w:rsidRDefault="00994CA2" w:rsidP="00085456">
      <w:pPr>
        <w:widowControl w:val="0"/>
        <w:rPr>
          <w:bCs/>
          <w:szCs w:val="20"/>
        </w:rPr>
      </w:pPr>
      <w:r>
        <w:rPr>
          <w:bCs/>
          <w:szCs w:val="20"/>
        </w:rPr>
        <w:t>R</w:t>
      </w:r>
      <w:r w:rsidR="00085456" w:rsidRPr="003D1388">
        <w:rPr>
          <w:bCs/>
          <w:szCs w:val="20"/>
        </w:rPr>
        <w:t xml:space="preserve">GG shall be placed in accordance with </w:t>
      </w:r>
      <w:r w:rsidR="00B30F16">
        <w:rPr>
          <w:bCs/>
          <w:szCs w:val="20"/>
        </w:rPr>
        <w:t>clause</w:t>
      </w:r>
      <w:r w:rsidR="00085456" w:rsidRPr="003D1388">
        <w:rPr>
          <w:bCs/>
          <w:szCs w:val="20"/>
        </w:rPr>
        <w:t xml:space="preserve"> 407.12 for Wearing Courses.</w:t>
      </w:r>
    </w:p>
    <w:p w14:paraId="2B40445A" w14:textId="77777777" w:rsidR="00085456" w:rsidRPr="003D1388" w:rsidRDefault="00085456" w:rsidP="00085456">
      <w:pPr>
        <w:widowControl w:val="0"/>
        <w:rPr>
          <w:spacing w:val="-6"/>
          <w:szCs w:val="20"/>
        </w:rPr>
      </w:pPr>
    </w:p>
    <w:p w14:paraId="5B8B0956" w14:textId="77777777" w:rsidR="00085456" w:rsidRPr="003D1388" w:rsidRDefault="00085456" w:rsidP="002F15D9">
      <w:pPr>
        <w:widowControl w:val="0"/>
        <w:tabs>
          <w:tab w:val="left" w:pos="0"/>
        </w:tabs>
        <w:ind w:hanging="567"/>
        <w:rPr>
          <w:b/>
          <w:bCs/>
          <w:spacing w:val="-6"/>
          <w:szCs w:val="20"/>
        </w:rPr>
      </w:pPr>
      <w:r w:rsidRPr="003D1388">
        <w:rPr>
          <w:b/>
          <w:bCs/>
          <w:szCs w:val="20"/>
        </w:rPr>
        <w:t>HP</w:t>
      </w:r>
      <w:r w:rsidRPr="003D1388">
        <w:rPr>
          <w:b/>
          <w:bCs/>
          <w:szCs w:val="20"/>
        </w:rPr>
        <w:tab/>
      </w:r>
      <w:r w:rsidRPr="003D1388">
        <w:rPr>
          <w:b/>
          <w:bCs/>
          <w:spacing w:val="-6"/>
          <w:szCs w:val="20"/>
        </w:rPr>
        <w:t xml:space="preserve">The placement of RGG </w:t>
      </w:r>
      <w:r w:rsidRPr="003D1388">
        <w:rPr>
          <w:b/>
          <w:bCs/>
          <w:szCs w:val="20"/>
        </w:rPr>
        <w:t>shall not commence until approval to proceed is obtained from the Superintendent.</w:t>
      </w:r>
    </w:p>
    <w:p w14:paraId="7FF1FD82" w14:textId="77777777" w:rsidR="005932AE" w:rsidRDefault="005932AE" w:rsidP="004B30D6"/>
    <w:p w14:paraId="01975932" w14:textId="77777777" w:rsidR="005932AE" w:rsidRDefault="005932AE" w:rsidP="004B30D6"/>
    <w:p w14:paraId="2645751C" w14:textId="77777777" w:rsidR="002F570E" w:rsidRDefault="00AA7299" w:rsidP="005B1798">
      <w:pPr>
        <w:pStyle w:val="Heading3SS"/>
      </w:pPr>
      <w:r>
        <w:t>405</w:t>
      </w:r>
      <w:r w:rsidR="002F570E">
        <w:t>.0</w:t>
      </w:r>
      <w:r>
        <w:t>8</w:t>
      </w:r>
      <w:r w:rsidR="002F570E">
        <w:tab/>
      </w:r>
      <w:r>
        <w:t>COMPACTION</w:t>
      </w:r>
    </w:p>
    <w:p w14:paraId="51AA7183" w14:textId="77777777" w:rsidR="002F570E" w:rsidRDefault="002F570E" w:rsidP="004B30D6"/>
    <w:p w14:paraId="12D198BB" w14:textId="77777777" w:rsidR="00AA7299" w:rsidRPr="001A5CA7" w:rsidRDefault="00AA7299" w:rsidP="00AA7299">
      <w:pPr>
        <w:widowControl w:val="0"/>
        <w:rPr>
          <w:szCs w:val="20"/>
        </w:rPr>
      </w:pPr>
      <w:r w:rsidRPr="001A5CA7">
        <w:rPr>
          <w:szCs w:val="20"/>
        </w:rPr>
        <w:t>Compaction shall be achieved using not less than 3 passes with steel wheeled rollers with a minimum overall mass of 6 tonnes.  The Contractor may use a multi</w:t>
      </w:r>
      <w:r w:rsidRPr="001A5CA7">
        <w:rPr>
          <w:szCs w:val="20"/>
        </w:rPr>
        <w:noBreakHyphen/>
        <w:t xml:space="preserve">wheel roller for secondary rolling however multi-wheel rolling shall be discontinued if it results in any damage to the surface of the new asphalt mat. </w:t>
      </w:r>
      <w:r w:rsidR="00AC3407" w:rsidRPr="001A5CA7">
        <w:rPr>
          <w:szCs w:val="20"/>
        </w:rPr>
        <w:t xml:space="preserve"> </w:t>
      </w:r>
      <w:r w:rsidRPr="001A5CA7">
        <w:rPr>
          <w:szCs w:val="20"/>
        </w:rPr>
        <w:t>The Contractor shall use a multi</w:t>
      </w:r>
      <w:r w:rsidRPr="001A5CA7">
        <w:rPr>
          <w:szCs w:val="20"/>
        </w:rPr>
        <w:noBreakHyphen/>
        <w:t>wheel roller for compaction of small areas where the steel wheeled roller is unable to compact the newly placed mix.</w:t>
      </w:r>
    </w:p>
    <w:p w14:paraId="0DDCE98C" w14:textId="77777777" w:rsidR="00AA7299" w:rsidRDefault="00116DC7" w:rsidP="004B30D6">
      <w:r>
        <w:rPr>
          <w:noProof/>
          <w:lang w:eastAsia="en-AU"/>
        </w:rPr>
        <w:pict w14:anchorId="45FE2ECC">
          <v:shape id="_x0000_s1039" type="#_x0000_t202" style="position:absolute;margin-left:0;margin-top:779.65pt;width:481.9pt;height:36.85pt;z-index:-251658240;mso-wrap-distance-top:5.65pt;mso-position-horizontal:center;mso-position-horizontal-relative:page;mso-position-vertical-relative:page" stroked="f">
            <v:textbox style="mso-next-textbox:#_x0000_s1039" inset="0,,0">
              <w:txbxContent>
                <w:p w14:paraId="40E5A74F" w14:textId="77777777" w:rsidR="005E6539" w:rsidRDefault="005E6539" w:rsidP="00A31693">
                  <w:pPr>
                    <w:pBdr>
                      <w:top w:val="single" w:sz="6" w:space="1" w:color="000000"/>
                    </w:pBdr>
                    <w:spacing w:line="60" w:lineRule="exact"/>
                    <w:jc w:val="right"/>
                    <w:rPr>
                      <w:b/>
                    </w:rPr>
                  </w:pPr>
                </w:p>
                <w:p w14:paraId="45504C67" w14:textId="091B0F56" w:rsidR="005E6539" w:rsidRDefault="005E6539" w:rsidP="00A31693">
                  <w:pPr>
                    <w:pBdr>
                      <w:top w:val="single" w:sz="6" w:space="1" w:color="000000"/>
                    </w:pBdr>
                    <w:jc w:val="right"/>
                  </w:pPr>
                  <w:r>
                    <w:rPr>
                      <w:b/>
                    </w:rPr>
                    <w:t>©</w:t>
                  </w:r>
                  <w:r>
                    <w:t xml:space="preserve"> </w:t>
                  </w:r>
                  <w:r w:rsidR="00116DC7">
                    <w:t>Department of Transport</w:t>
                  </w:r>
                  <w:r>
                    <w:t xml:space="preserve">  </w:t>
                  </w:r>
                  <w:r w:rsidR="00653E67">
                    <w:t>June 2014</w:t>
                  </w:r>
                </w:p>
                <w:p w14:paraId="348FE8EE" w14:textId="77777777" w:rsidR="005E6539" w:rsidRDefault="005E6539" w:rsidP="00A31693">
                  <w:pPr>
                    <w:jc w:val="right"/>
                  </w:pPr>
                  <w:r>
                    <w:t>Section 405 (Page 2 of 2)</w:t>
                  </w:r>
                </w:p>
                <w:p w14:paraId="0FE7C051" w14:textId="77777777" w:rsidR="005E6539" w:rsidRDefault="005E6539" w:rsidP="00A31693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AA7299" w:rsidSect="00370DF7">
      <w:headerReference w:type="default" r:id="rId7"/>
      <w:endnotePr>
        <w:numFmt w:val="decimal"/>
      </w:endnotePr>
      <w:pgSz w:w="11906" w:h="16838" w:code="9"/>
      <w:pgMar w:top="431" w:right="1134" w:bottom="431" w:left="1134" w:header="43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7518" w14:textId="77777777" w:rsidR="001F5A00" w:rsidRDefault="001F5A00">
      <w:r>
        <w:separator/>
      </w:r>
    </w:p>
  </w:endnote>
  <w:endnote w:type="continuationSeparator" w:id="0">
    <w:p w14:paraId="3E2BEB24" w14:textId="77777777" w:rsidR="001F5A00" w:rsidRDefault="001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155C" w14:textId="77777777" w:rsidR="001F5A00" w:rsidRDefault="001F5A00">
      <w:r>
        <w:separator/>
      </w:r>
    </w:p>
  </w:footnote>
  <w:footnote w:type="continuationSeparator" w:id="0">
    <w:p w14:paraId="009D1E0A" w14:textId="77777777" w:rsidR="001F5A00" w:rsidRDefault="001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3A65" w14:textId="374C74DC" w:rsidR="005E6539" w:rsidRDefault="00116DC7">
    <w:pPr>
      <w:jc w:val="right"/>
    </w:pPr>
    <w:r>
      <w:t>Department of Transport</w:t>
    </w:r>
  </w:p>
  <w:p w14:paraId="6992FB7F" w14:textId="77777777" w:rsidR="005E6539" w:rsidRDefault="005E6539" w:rsidP="00F873FA">
    <w:pPr>
      <w:pBdr>
        <w:top w:val="single" w:sz="8" w:space="1" w:color="auto"/>
      </w:pBdr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70994"/>
    <w:multiLevelType w:val="hybridMultilevel"/>
    <w:tmpl w:val="6BB81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71A4"/>
    <w:multiLevelType w:val="multilevel"/>
    <w:tmpl w:val="172693E8"/>
    <w:lvl w:ilvl="0">
      <w:start w:val="1"/>
      <w:numFmt w:val="none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Heading5"/>
      <w:lvlText w:val="(%5%1)"/>
      <w:lvlJc w:val="left"/>
      <w:pPr>
        <w:tabs>
          <w:tab w:val="num" w:pos="1021"/>
        </w:tabs>
        <w:ind w:left="1021" w:hanging="454"/>
      </w:pPr>
      <w:rPr>
        <w:rFonts w:ascii="Times New (W1)" w:hAnsi="Times New (W1)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Restart w:val="4"/>
      <w:pStyle w:val="Heading6"/>
      <w:lvlText w:val="%1(%6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6">
      <w:start w:val="1"/>
      <w:numFmt w:val="lowerRoman"/>
      <w:lvlText w:val="%1(%7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" w15:restartNumberingAfterBreak="0">
    <w:nsid w:val="76795D26"/>
    <w:multiLevelType w:val="hybridMultilevel"/>
    <w:tmpl w:val="A11ACB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E3F"/>
    <w:multiLevelType w:val="hybridMultilevel"/>
    <w:tmpl w:val="B3CC26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150"/>
    <w:rsid w:val="00004DF1"/>
    <w:rsid w:val="00005795"/>
    <w:rsid w:val="000158B5"/>
    <w:rsid w:val="00022886"/>
    <w:rsid w:val="0003423D"/>
    <w:rsid w:val="000363F1"/>
    <w:rsid w:val="00042FD1"/>
    <w:rsid w:val="00057D8B"/>
    <w:rsid w:val="00060508"/>
    <w:rsid w:val="00076B2D"/>
    <w:rsid w:val="00085456"/>
    <w:rsid w:val="000912C4"/>
    <w:rsid w:val="000B3E1C"/>
    <w:rsid w:val="000E1E0C"/>
    <w:rsid w:val="00106E96"/>
    <w:rsid w:val="00116DC7"/>
    <w:rsid w:val="00127D05"/>
    <w:rsid w:val="001368CB"/>
    <w:rsid w:val="00175387"/>
    <w:rsid w:val="00176084"/>
    <w:rsid w:val="00176F08"/>
    <w:rsid w:val="00194F39"/>
    <w:rsid w:val="001A5CA7"/>
    <w:rsid w:val="001A7BE5"/>
    <w:rsid w:val="001B1D88"/>
    <w:rsid w:val="001B5A00"/>
    <w:rsid w:val="001E1502"/>
    <w:rsid w:val="001F1CC9"/>
    <w:rsid w:val="001F5A00"/>
    <w:rsid w:val="00210999"/>
    <w:rsid w:val="0022356F"/>
    <w:rsid w:val="00232D75"/>
    <w:rsid w:val="002405C8"/>
    <w:rsid w:val="002420E8"/>
    <w:rsid w:val="00250587"/>
    <w:rsid w:val="00267537"/>
    <w:rsid w:val="00275D0E"/>
    <w:rsid w:val="0028418C"/>
    <w:rsid w:val="002B5544"/>
    <w:rsid w:val="002B6B54"/>
    <w:rsid w:val="002F15D9"/>
    <w:rsid w:val="002F2C20"/>
    <w:rsid w:val="002F570E"/>
    <w:rsid w:val="00314000"/>
    <w:rsid w:val="00314929"/>
    <w:rsid w:val="003206CE"/>
    <w:rsid w:val="00340C31"/>
    <w:rsid w:val="003552B0"/>
    <w:rsid w:val="00370DF7"/>
    <w:rsid w:val="00376193"/>
    <w:rsid w:val="003E4348"/>
    <w:rsid w:val="00425342"/>
    <w:rsid w:val="00427CC4"/>
    <w:rsid w:val="004B30D6"/>
    <w:rsid w:val="004E54C9"/>
    <w:rsid w:val="004E7E8C"/>
    <w:rsid w:val="004F04E3"/>
    <w:rsid w:val="004F369D"/>
    <w:rsid w:val="004F77FE"/>
    <w:rsid w:val="00524DDD"/>
    <w:rsid w:val="00537157"/>
    <w:rsid w:val="00551CC4"/>
    <w:rsid w:val="005676E1"/>
    <w:rsid w:val="005932AE"/>
    <w:rsid w:val="00594EF4"/>
    <w:rsid w:val="005A1527"/>
    <w:rsid w:val="005B1798"/>
    <w:rsid w:val="005C0446"/>
    <w:rsid w:val="005C0CFB"/>
    <w:rsid w:val="005C6A4A"/>
    <w:rsid w:val="005D1D52"/>
    <w:rsid w:val="005E6539"/>
    <w:rsid w:val="00612296"/>
    <w:rsid w:val="00652C97"/>
    <w:rsid w:val="00653E67"/>
    <w:rsid w:val="006C6C8E"/>
    <w:rsid w:val="006E5BD9"/>
    <w:rsid w:val="00723941"/>
    <w:rsid w:val="007429A1"/>
    <w:rsid w:val="00755121"/>
    <w:rsid w:val="007551FF"/>
    <w:rsid w:val="007656AE"/>
    <w:rsid w:val="00770848"/>
    <w:rsid w:val="007B33C7"/>
    <w:rsid w:val="008041D3"/>
    <w:rsid w:val="00824026"/>
    <w:rsid w:val="0087208F"/>
    <w:rsid w:val="0088299C"/>
    <w:rsid w:val="0089164B"/>
    <w:rsid w:val="008A6984"/>
    <w:rsid w:val="008F4BDA"/>
    <w:rsid w:val="0090740F"/>
    <w:rsid w:val="00912A12"/>
    <w:rsid w:val="009152B8"/>
    <w:rsid w:val="0092332A"/>
    <w:rsid w:val="0094131A"/>
    <w:rsid w:val="00957F29"/>
    <w:rsid w:val="00994ADF"/>
    <w:rsid w:val="00994CA2"/>
    <w:rsid w:val="009A3C5E"/>
    <w:rsid w:val="009A6385"/>
    <w:rsid w:val="009B4185"/>
    <w:rsid w:val="009C3903"/>
    <w:rsid w:val="009E5D19"/>
    <w:rsid w:val="00A15378"/>
    <w:rsid w:val="00A27248"/>
    <w:rsid w:val="00A31693"/>
    <w:rsid w:val="00A333FA"/>
    <w:rsid w:val="00A44ACF"/>
    <w:rsid w:val="00A45F83"/>
    <w:rsid w:val="00AA7299"/>
    <w:rsid w:val="00AB7726"/>
    <w:rsid w:val="00AC3407"/>
    <w:rsid w:val="00AC6A89"/>
    <w:rsid w:val="00AD6C71"/>
    <w:rsid w:val="00AD7702"/>
    <w:rsid w:val="00AE04A5"/>
    <w:rsid w:val="00AF50A7"/>
    <w:rsid w:val="00B00DC3"/>
    <w:rsid w:val="00B13FCE"/>
    <w:rsid w:val="00B30F16"/>
    <w:rsid w:val="00B406B8"/>
    <w:rsid w:val="00B47312"/>
    <w:rsid w:val="00B63A95"/>
    <w:rsid w:val="00B77819"/>
    <w:rsid w:val="00B923FD"/>
    <w:rsid w:val="00B93AAE"/>
    <w:rsid w:val="00BA498E"/>
    <w:rsid w:val="00BD0BEF"/>
    <w:rsid w:val="00BE5889"/>
    <w:rsid w:val="00C024AF"/>
    <w:rsid w:val="00C11F10"/>
    <w:rsid w:val="00C3483F"/>
    <w:rsid w:val="00C437FC"/>
    <w:rsid w:val="00C71514"/>
    <w:rsid w:val="00CA56B4"/>
    <w:rsid w:val="00CC3079"/>
    <w:rsid w:val="00CC692B"/>
    <w:rsid w:val="00CD1FF9"/>
    <w:rsid w:val="00CD3274"/>
    <w:rsid w:val="00D07286"/>
    <w:rsid w:val="00D33F7D"/>
    <w:rsid w:val="00D372EC"/>
    <w:rsid w:val="00D549B8"/>
    <w:rsid w:val="00D54C76"/>
    <w:rsid w:val="00DB06A7"/>
    <w:rsid w:val="00DD15ED"/>
    <w:rsid w:val="00DD2E1D"/>
    <w:rsid w:val="00DE0D03"/>
    <w:rsid w:val="00DE12A0"/>
    <w:rsid w:val="00DF45A3"/>
    <w:rsid w:val="00E34F8D"/>
    <w:rsid w:val="00E35A86"/>
    <w:rsid w:val="00E41247"/>
    <w:rsid w:val="00E524DE"/>
    <w:rsid w:val="00E73395"/>
    <w:rsid w:val="00E95AF8"/>
    <w:rsid w:val="00EA2713"/>
    <w:rsid w:val="00EB5933"/>
    <w:rsid w:val="00EC412E"/>
    <w:rsid w:val="00EC765C"/>
    <w:rsid w:val="00EE07EC"/>
    <w:rsid w:val="00EE3CDF"/>
    <w:rsid w:val="00EE6509"/>
    <w:rsid w:val="00F31D48"/>
    <w:rsid w:val="00F80150"/>
    <w:rsid w:val="00F873FA"/>
    <w:rsid w:val="00F92804"/>
    <w:rsid w:val="00FA28AC"/>
    <w:rsid w:val="00FA5C95"/>
    <w:rsid w:val="00FB212A"/>
    <w:rsid w:val="00F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praxa-com/sth" w:name="ST7"/>
  <w:shapeDefaults>
    <o:shapedefaults v:ext="edit" spidmax="5121"/>
    <o:shapelayout v:ext="edit">
      <o:idmap v:ext="edit" data="1"/>
    </o:shapelayout>
  </w:shapeDefaults>
  <w:decimalSymbol w:val="."/>
  <w:listSeparator w:val=","/>
  <w14:docId w14:val="235E7986"/>
  <w15:chartTrackingRefBased/>
  <w15:docId w15:val="{58AD910C-0C2F-4A53-8203-F4DA2599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39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B4185"/>
    <w:pPr>
      <w:keepNext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9B4185"/>
    <w:pPr>
      <w:keepNext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4185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B4185"/>
    <w:pPr>
      <w:keepNext/>
      <w:numPr>
        <w:ilvl w:val="3"/>
        <w:numId w:val="11"/>
      </w:numPr>
      <w:spacing w:after="20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Normal"/>
    <w:qFormat/>
    <w:rsid w:val="009B4185"/>
    <w:pPr>
      <w:numPr>
        <w:ilvl w:val="4"/>
      </w:numPr>
      <w:outlineLvl w:val="4"/>
    </w:pPr>
    <w:rPr>
      <w:b w:val="0"/>
      <w:bCs w:val="0"/>
      <w:szCs w:val="22"/>
    </w:rPr>
  </w:style>
  <w:style w:type="paragraph" w:styleId="Heading6">
    <w:name w:val="heading 6"/>
    <w:basedOn w:val="Normal"/>
    <w:next w:val="Normal"/>
    <w:link w:val="Heading6Char"/>
    <w:qFormat/>
    <w:rsid w:val="009B4185"/>
    <w:pPr>
      <w:numPr>
        <w:ilvl w:val="5"/>
        <w:numId w:val="11"/>
      </w:numPr>
      <w:spacing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B4185"/>
    <w:pPr>
      <w:tabs>
        <w:tab w:val="left" w:pos="567"/>
      </w:tabs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rsid w:val="00EB5933"/>
    <w:pPr>
      <w:shd w:val="clear" w:color="auto" w:fill="000080"/>
    </w:pPr>
    <w:rPr>
      <w:rFonts w:ascii="Comic Sans MS" w:hAnsi="Comic Sans MS" w:cs="Tahoma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ing2SS">
    <w:name w:val="Heading 2 + SS"/>
    <w:basedOn w:val="Heading2"/>
    <w:rsid w:val="00F873FA"/>
    <w:pPr>
      <w:keepNext w:val="0"/>
      <w:tabs>
        <w:tab w:val="left" w:pos="1985"/>
        <w:tab w:val="left" w:pos="2268"/>
      </w:tabs>
      <w:ind w:left="2268" w:hanging="2268"/>
    </w:pPr>
  </w:style>
  <w:style w:type="paragraph" w:customStyle="1" w:styleId="Heading3SS">
    <w:name w:val="Heading 3 + SS"/>
    <w:basedOn w:val="Heading3"/>
    <w:link w:val="Heading3SSChar"/>
    <w:rsid w:val="00F873FA"/>
    <w:pPr>
      <w:keepNext w:val="0"/>
      <w:numPr>
        <w:ilvl w:val="0"/>
        <w:numId w:val="0"/>
      </w:numPr>
      <w:tabs>
        <w:tab w:val="left" w:pos="851"/>
      </w:tabs>
      <w:ind w:left="851" w:hanging="851"/>
    </w:pPr>
  </w:style>
  <w:style w:type="character" w:customStyle="1" w:styleId="Heading3Char">
    <w:name w:val="Heading 3 Char"/>
    <w:link w:val="Heading3"/>
    <w:rsid w:val="009B4185"/>
    <w:rPr>
      <w:rFonts w:cs="Arial"/>
      <w:b/>
      <w:bCs/>
      <w:szCs w:val="26"/>
      <w:lang w:val="en-AU" w:eastAsia="en-US" w:bidi="ar-SA"/>
    </w:rPr>
  </w:style>
  <w:style w:type="character" w:customStyle="1" w:styleId="Heading3SSChar">
    <w:name w:val="Heading 3 + SS Char"/>
    <w:link w:val="Heading3SS"/>
    <w:rsid w:val="00F873FA"/>
    <w:rPr>
      <w:rFonts w:ascii="Arial" w:hAnsi="Arial" w:cs="Arial"/>
      <w:b/>
      <w:bCs/>
      <w:szCs w:val="26"/>
      <w:lang w:val="en-AU" w:eastAsia="en-US" w:bidi="ar-SA"/>
    </w:rPr>
  </w:style>
  <w:style w:type="character" w:customStyle="1" w:styleId="Heading4Char">
    <w:name w:val="Heading 4 Char"/>
    <w:link w:val="Heading4"/>
    <w:rsid w:val="009B4185"/>
    <w:rPr>
      <w:b/>
      <w:bCs/>
      <w:szCs w:val="28"/>
      <w:lang w:val="en-AU" w:eastAsia="en-US" w:bidi="ar-SA"/>
    </w:rPr>
  </w:style>
  <w:style w:type="paragraph" w:customStyle="1" w:styleId="Heading5SS">
    <w:name w:val="Heading 5 +SS"/>
    <w:basedOn w:val="Heading5"/>
    <w:rsid w:val="00F873FA"/>
    <w:pPr>
      <w:keepNext w:val="0"/>
      <w:numPr>
        <w:ilvl w:val="0"/>
        <w:numId w:val="0"/>
      </w:numPr>
      <w:tabs>
        <w:tab w:val="left" w:pos="425"/>
      </w:tabs>
      <w:spacing w:after="0"/>
      <w:ind w:left="425" w:hanging="425"/>
      <w:outlineLvl w:val="9"/>
    </w:pPr>
  </w:style>
  <w:style w:type="character" w:customStyle="1" w:styleId="Heading6Char">
    <w:name w:val="Heading 6 Char"/>
    <w:link w:val="Heading6"/>
    <w:rsid w:val="009B4185"/>
    <w:rPr>
      <w:bCs/>
      <w:szCs w:val="22"/>
      <w:lang w:val="en-AU" w:eastAsia="en-US" w:bidi="ar-SA"/>
    </w:rPr>
  </w:style>
  <w:style w:type="table" w:styleId="TableGrid">
    <w:name w:val="Table Grid"/>
    <w:basedOn w:val="TableNormal"/>
    <w:rsid w:val="008240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405</vt:lpstr>
    </vt:vector>
  </TitlesOfParts>
  <Company>VicRoads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405</dc:title>
  <dc:subject>Regulation Gap Graded Asphalt</dc:subject>
  <dc:creator>VicRoads</dc:creator>
  <cp:keywords/>
  <dc:description/>
  <cp:lastModifiedBy>Robyn Robb</cp:lastModifiedBy>
  <cp:revision>3</cp:revision>
  <cp:lastPrinted>2006-07-03T23:36:00Z</cp:lastPrinted>
  <dcterms:created xsi:type="dcterms:W3CDTF">2019-12-04T23:04:00Z</dcterms:created>
  <dcterms:modified xsi:type="dcterms:W3CDTF">2021-03-02T05:57:00Z</dcterms:modified>
</cp:coreProperties>
</file>