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7463E1" w14:textId="77777777" w:rsidR="0058695D" w:rsidRPr="00C12FC8" w:rsidRDefault="0058695D" w:rsidP="00843D43">
      <w:pPr>
        <w:pStyle w:val="Heading2SS"/>
      </w:pPr>
      <w:r w:rsidRPr="00843D43">
        <w:t>SECTION 710</w:t>
      </w:r>
      <w:r w:rsidRPr="00843D43">
        <w:tab/>
        <w:t>-</w:t>
      </w:r>
      <w:r w:rsidRPr="00843D43">
        <w:tab/>
        <w:t>FIXING RAISED PAVEMENT MARKERS</w:t>
      </w:r>
      <w:r w:rsidRPr="00843D43">
        <w:rPr>
          <w:b w:val="0"/>
          <w:sz w:val="20"/>
          <w:szCs w:val="20"/>
        </w:rPr>
        <w:fldChar w:fldCharType="begin"/>
      </w:r>
      <w:r w:rsidRPr="00843D43">
        <w:rPr>
          <w:b w:val="0"/>
          <w:sz w:val="20"/>
          <w:szCs w:val="20"/>
        </w:rPr>
        <w:instrText>tc \l1 "SECTION 710</w:instrText>
      </w:r>
      <w:r w:rsidR="00843D43">
        <w:rPr>
          <w:b w:val="0"/>
          <w:sz w:val="20"/>
          <w:szCs w:val="20"/>
        </w:rPr>
        <w:instrText xml:space="preserve">  </w:instrText>
      </w:r>
      <w:r w:rsidRPr="00843D43">
        <w:rPr>
          <w:b w:val="0"/>
          <w:sz w:val="20"/>
          <w:szCs w:val="20"/>
        </w:rPr>
        <w:instrText>-</w:instrText>
      </w:r>
      <w:r w:rsidR="00843D43">
        <w:rPr>
          <w:b w:val="0"/>
          <w:sz w:val="20"/>
          <w:szCs w:val="20"/>
        </w:rPr>
        <w:instrText xml:space="preserve">  </w:instrText>
      </w:r>
      <w:r w:rsidRPr="00843D43">
        <w:rPr>
          <w:b w:val="0"/>
          <w:sz w:val="20"/>
          <w:szCs w:val="20"/>
        </w:rPr>
        <w:instrText>FIXING RAISED PAVEMENT MARKERS</w:instrText>
      </w:r>
      <w:r w:rsidRPr="00843D43">
        <w:rPr>
          <w:b w:val="0"/>
          <w:sz w:val="20"/>
          <w:szCs w:val="20"/>
        </w:rPr>
        <w:fldChar w:fldCharType="end"/>
      </w:r>
    </w:p>
    <w:p w14:paraId="51287672" w14:textId="77777777" w:rsidR="0058695D" w:rsidRDefault="0058695D" w:rsidP="00843D43"/>
    <w:p w14:paraId="1854C6BD" w14:textId="77777777" w:rsidR="00580F79" w:rsidRDefault="00580F79" w:rsidP="00843D43"/>
    <w:p w14:paraId="0758F38A" w14:textId="77777777" w:rsidR="00580F79" w:rsidRDefault="00580F79" w:rsidP="00843D43"/>
    <w:p w14:paraId="7A83B56B" w14:textId="77777777" w:rsidR="00580F79" w:rsidRDefault="00580F79" w:rsidP="00843D43"/>
    <w:p w14:paraId="29D3C43B" w14:textId="77777777" w:rsidR="0058695D" w:rsidRDefault="0058695D" w:rsidP="00843D43"/>
    <w:p w14:paraId="3C1BD6BD" w14:textId="77777777" w:rsidR="0058695D" w:rsidRDefault="0058695D" w:rsidP="004E1328">
      <w:pPr>
        <w:pStyle w:val="Heading3SS"/>
      </w:pPr>
      <w:r>
        <w:t>71</w:t>
      </w:r>
      <w:bookmarkStart w:id="0" w:name="np710"/>
      <w:bookmarkEnd w:id="0"/>
      <w:r>
        <w:t>0.01</w:t>
      </w:r>
      <w:r>
        <w:tab/>
        <w:t>DESCRIPTION</w:t>
      </w:r>
    </w:p>
    <w:p w14:paraId="1309D932" w14:textId="77777777" w:rsidR="0058695D" w:rsidRDefault="0058695D" w:rsidP="00843D43">
      <w:pPr>
        <w:spacing w:line="180" w:lineRule="exact"/>
      </w:pPr>
    </w:p>
    <w:p w14:paraId="7BDE000B" w14:textId="77777777" w:rsidR="0058695D" w:rsidRDefault="0058695D" w:rsidP="00843D43">
      <w:r>
        <w:t>This section covers the fixing of both reflective and non</w:t>
      </w:r>
      <w:r>
        <w:noBreakHyphen/>
        <w:t>reflective raised pavement markers to asphalt, concrete or sealed pavements using epoxy adhesive or hot melt bitumen adhesive.</w:t>
      </w:r>
    </w:p>
    <w:p w14:paraId="0EB49EA2" w14:textId="77777777" w:rsidR="0058695D" w:rsidRDefault="0058695D" w:rsidP="00843D43"/>
    <w:p w14:paraId="42367169" w14:textId="77777777" w:rsidR="0058695D" w:rsidRDefault="0058695D" w:rsidP="00843D43"/>
    <w:p w14:paraId="3DA9AAB4" w14:textId="77777777" w:rsidR="0058695D" w:rsidRDefault="0058695D" w:rsidP="004E1328">
      <w:pPr>
        <w:pStyle w:val="Heading3SS"/>
      </w:pPr>
      <w:r>
        <w:t>710.02</w:t>
      </w:r>
      <w:r>
        <w:tab/>
        <w:t>TOLERANCES ON POSITION</w:t>
      </w:r>
    </w:p>
    <w:p w14:paraId="310681E6" w14:textId="77777777" w:rsidR="0058695D" w:rsidRDefault="0058695D" w:rsidP="00843D43">
      <w:pPr>
        <w:spacing w:line="180" w:lineRule="exact"/>
      </w:pPr>
    </w:p>
    <w:p w14:paraId="61B22B78" w14:textId="77777777" w:rsidR="0058695D" w:rsidRDefault="0058695D" w:rsidP="00843D43">
      <w:r>
        <w:t xml:space="preserve">Markers shall be affixed to the pavement at the positions shown on the </w:t>
      </w:r>
      <w:proofErr w:type="gramStart"/>
      <w:r>
        <w:t>drawings, or</w:t>
      </w:r>
      <w:proofErr w:type="gramEnd"/>
      <w:r>
        <w:t xml:space="preserve"> specified or directed by the Superintendent within the following limits, unless otherwise specified.</w:t>
      </w:r>
    </w:p>
    <w:p w14:paraId="0B3A8F69" w14:textId="77777777" w:rsidR="004201B2" w:rsidRDefault="004201B2" w:rsidP="004201B2"/>
    <w:p w14:paraId="609C6970" w14:textId="77777777" w:rsidR="0058695D" w:rsidRDefault="0058695D" w:rsidP="004201B2">
      <w:pPr>
        <w:pStyle w:val="Heading5SS"/>
      </w:pPr>
      <w:r>
        <w:t>(a)</w:t>
      </w:r>
      <w:r>
        <w:tab/>
        <w:t>Markers in Line with Broken Line Segments</w:t>
      </w:r>
    </w:p>
    <w:p w14:paraId="6B85D3AA" w14:textId="77777777" w:rsidR="0058695D" w:rsidRDefault="00843D43" w:rsidP="00336B1F">
      <w:pPr>
        <w:tabs>
          <w:tab w:val="left" w:pos="454"/>
        </w:tabs>
        <w:spacing w:before="160"/>
        <w:ind w:left="454" w:hanging="454"/>
      </w:pPr>
      <w:r>
        <w:tab/>
      </w:r>
      <w:r w:rsidR="0058695D">
        <w:t>Transverse position within 25 mm of the centreline of the segments.</w:t>
      </w:r>
    </w:p>
    <w:p w14:paraId="081602C5" w14:textId="77777777" w:rsidR="0058695D" w:rsidRDefault="0058695D" w:rsidP="00336B1F">
      <w:pPr>
        <w:tabs>
          <w:tab w:val="left" w:pos="454"/>
        </w:tabs>
        <w:spacing w:before="160"/>
        <w:ind w:left="454" w:hanging="454"/>
      </w:pPr>
      <w:r>
        <w:tab/>
        <w:t>Longitudinal position within 0.5 m of the specified position.</w:t>
      </w:r>
    </w:p>
    <w:p w14:paraId="4F74E328" w14:textId="77777777" w:rsidR="004201B2" w:rsidRDefault="004201B2" w:rsidP="004201B2"/>
    <w:p w14:paraId="523B5A16" w14:textId="77777777" w:rsidR="0058695D" w:rsidRDefault="0058695D" w:rsidP="004201B2">
      <w:pPr>
        <w:pStyle w:val="Heading5SS"/>
      </w:pPr>
      <w:r>
        <w:t>(b)</w:t>
      </w:r>
      <w:r>
        <w:tab/>
        <w:t>Markers in a Longitudinal Group</w:t>
      </w:r>
    </w:p>
    <w:p w14:paraId="49FBCEB1" w14:textId="77777777" w:rsidR="0058695D" w:rsidRDefault="00843D43" w:rsidP="00336B1F">
      <w:pPr>
        <w:tabs>
          <w:tab w:val="left" w:pos="454"/>
        </w:tabs>
        <w:spacing w:before="160"/>
        <w:ind w:left="454" w:hanging="454"/>
      </w:pPr>
      <w:r>
        <w:tab/>
      </w:r>
      <w:r w:rsidR="0058695D">
        <w:t>Transverse position of the centre of each marker within 25 mm of the specified position and within 10 mm of a line joining the centres of the end markers of the group.</w:t>
      </w:r>
    </w:p>
    <w:p w14:paraId="5C3527D4" w14:textId="77777777" w:rsidR="0058695D" w:rsidRDefault="00843D43" w:rsidP="00336B1F">
      <w:pPr>
        <w:tabs>
          <w:tab w:val="left" w:pos="454"/>
        </w:tabs>
        <w:spacing w:before="160"/>
        <w:ind w:left="454" w:hanging="454"/>
      </w:pPr>
      <w:r>
        <w:tab/>
      </w:r>
      <w:r w:rsidR="0058695D">
        <w:t>Longitudinal position of the end markers of the group within 0.5 m of the specified position.</w:t>
      </w:r>
    </w:p>
    <w:p w14:paraId="7E45CD73" w14:textId="77777777" w:rsidR="0058695D" w:rsidRDefault="00843D43" w:rsidP="00336B1F">
      <w:pPr>
        <w:tabs>
          <w:tab w:val="left" w:pos="454"/>
        </w:tabs>
        <w:spacing w:before="160"/>
        <w:ind w:left="454" w:hanging="454"/>
      </w:pPr>
      <w:r>
        <w:tab/>
      </w:r>
      <w:r w:rsidR="0058695D">
        <w:t>Spacing of markers within the group within 50 mm of the specified spacing.</w:t>
      </w:r>
    </w:p>
    <w:p w14:paraId="56E7A206" w14:textId="77777777" w:rsidR="004201B2" w:rsidRDefault="004201B2" w:rsidP="004201B2"/>
    <w:p w14:paraId="0F3F93BA" w14:textId="77777777" w:rsidR="0058695D" w:rsidRDefault="0058695D" w:rsidP="004201B2">
      <w:pPr>
        <w:pStyle w:val="Heading5SS"/>
      </w:pPr>
      <w:r>
        <w:t>(c)</w:t>
      </w:r>
      <w:r>
        <w:tab/>
        <w:t>Markers Adjacent to Unbroken Line</w:t>
      </w:r>
    </w:p>
    <w:p w14:paraId="15130E5B" w14:textId="77777777" w:rsidR="0058695D" w:rsidRDefault="00843D43" w:rsidP="00336B1F">
      <w:pPr>
        <w:tabs>
          <w:tab w:val="left" w:pos="454"/>
        </w:tabs>
        <w:spacing w:before="160"/>
        <w:ind w:left="454" w:hanging="454"/>
      </w:pPr>
      <w:r>
        <w:tab/>
      </w:r>
      <w:r w:rsidR="0058695D">
        <w:t>Clearance to edge of line within 5 mm of that specified.</w:t>
      </w:r>
    </w:p>
    <w:p w14:paraId="171A6CFD" w14:textId="77777777" w:rsidR="0058695D" w:rsidRDefault="00843D43" w:rsidP="00336B1F">
      <w:pPr>
        <w:tabs>
          <w:tab w:val="left" w:pos="454"/>
        </w:tabs>
        <w:spacing w:before="160"/>
        <w:ind w:left="454" w:hanging="454"/>
      </w:pPr>
      <w:r>
        <w:tab/>
      </w:r>
      <w:r w:rsidR="0058695D">
        <w:t>Longitudinal mismatch between markers in transverse pairs at barrier line not more than 25 mm.</w:t>
      </w:r>
    </w:p>
    <w:p w14:paraId="6BD3D4AA" w14:textId="77777777" w:rsidR="0058695D" w:rsidRDefault="00843D43" w:rsidP="00336B1F">
      <w:pPr>
        <w:tabs>
          <w:tab w:val="left" w:pos="454"/>
        </w:tabs>
        <w:spacing w:before="160"/>
        <w:ind w:left="454" w:hanging="454"/>
      </w:pPr>
      <w:r>
        <w:tab/>
      </w:r>
      <w:r w:rsidR="0058695D">
        <w:t>Longitudinal position of markers within 0.5 m or 10% of the specified spacing, whichever is the less.</w:t>
      </w:r>
    </w:p>
    <w:p w14:paraId="389264C9" w14:textId="77777777" w:rsidR="004201B2" w:rsidRDefault="004201B2" w:rsidP="004201B2"/>
    <w:p w14:paraId="63314391" w14:textId="77777777" w:rsidR="0058695D" w:rsidRDefault="0058695D" w:rsidP="004201B2">
      <w:pPr>
        <w:pStyle w:val="Heading5SS"/>
      </w:pPr>
      <w:r>
        <w:t>(d)</w:t>
      </w:r>
      <w:r>
        <w:tab/>
        <w:t>Orientation of Reflective Markers</w:t>
      </w:r>
    </w:p>
    <w:p w14:paraId="73F9F5A1" w14:textId="77777777" w:rsidR="0058695D" w:rsidRDefault="00843D43" w:rsidP="00336B1F">
      <w:pPr>
        <w:tabs>
          <w:tab w:val="left" w:pos="454"/>
        </w:tabs>
        <w:spacing w:before="160"/>
        <w:ind w:left="454" w:hanging="454"/>
      </w:pPr>
      <w:r>
        <w:tab/>
      </w:r>
      <w:r w:rsidR="0058695D">
        <w:t>Lower edge of the reflective face at 85</w:t>
      </w:r>
      <w:r w:rsidR="0058695D">
        <w:sym w:font="Symbol" w:char="F0B0"/>
      </w:r>
      <w:r w:rsidR="0058695D">
        <w:t xml:space="preserve"> to 95</w:t>
      </w:r>
      <w:r w:rsidR="0058695D">
        <w:sym w:font="Symbol" w:char="F0B0"/>
      </w:r>
      <w:r w:rsidR="0058695D">
        <w:t xml:space="preserve"> to the centreline of the roadway or any adjacent line.</w:t>
      </w:r>
    </w:p>
    <w:p w14:paraId="5751072A" w14:textId="77777777" w:rsidR="0058695D" w:rsidRDefault="0058695D" w:rsidP="00843D43"/>
    <w:p w14:paraId="5A8CC2D4" w14:textId="77777777" w:rsidR="0058695D" w:rsidRDefault="0058695D" w:rsidP="00843D43"/>
    <w:p w14:paraId="651B206C" w14:textId="77777777" w:rsidR="0058695D" w:rsidRDefault="0058695D" w:rsidP="004E1328">
      <w:pPr>
        <w:pStyle w:val="Heading3SS"/>
      </w:pPr>
      <w:r>
        <w:t>710.03</w:t>
      </w:r>
      <w:r>
        <w:tab/>
        <w:t>MATERIALS</w:t>
      </w:r>
    </w:p>
    <w:p w14:paraId="5CB7AE2B" w14:textId="77777777" w:rsidR="0058695D" w:rsidRDefault="0058695D" w:rsidP="007A5F37">
      <w:pPr>
        <w:spacing w:before="200"/>
      </w:pPr>
      <w:r>
        <w:t>The Contractor shall supply all materials required to complete the work covered by this section, unless otherwise specified.</w:t>
      </w:r>
    </w:p>
    <w:p w14:paraId="0DA186C9" w14:textId="77777777" w:rsidR="004201B2" w:rsidRDefault="004201B2" w:rsidP="004201B2"/>
    <w:p w14:paraId="08BC745C" w14:textId="77777777" w:rsidR="0058695D" w:rsidRDefault="0058695D" w:rsidP="004201B2">
      <w:pPr>
        <w:pStyle w:val="Heading5SS"/>
      </w:pPr>
      <w:r>
        <w:t>(a)</w:t>
      </w:r>
      <w:r>
        <w:tab/>
        <w:t>Markers</w:t>
      </w:r>
    </w:p>
    <w:p w14:paraId="40C8AEC2" w14:textId="77777777" w:rsidR="0058695D" w:rsidRDefault="009135A3" w:rsidP="00336B1F">
      <w:pPr>
        <w:tabs>
          <w:tab w:val="left" w:pos="454"/>
        </w:tabs>
        <w:spacing w:before="160"/>
        <w:ind w:left="454" w:hanging="454"/>
      </w:pPr>
      <w:r>
        <w:tab/>
      </w:r>
      <w:r w:rsidR="0058695D">
        <w:t>Markers shall comply with the relevant requirements of AS 1906, Part 3.</w:t>
      </w:r>
    </w:p>
    <w:p w14:paraId="6DE5314C" w14:textId="77777777" w:rsidR="0058695D" w:rsidRDefault="009135A3" w:rsidP="00336B1F">
      <w:pPr>
        <w:tabs>
          <w:tab w:val="left" w:pos="454"/>
        </w:tabs>
        <w:spacing w:before="160"/>
        <w:ind w:left="454" w:hanging="454"/>
      </w:pPr>
      <w:r>
        <w:tab/>
      </w:r>
      <w:r w:rsidR="0058695D">
        <w:t>Only markers approved for use by VicRoads shall be used and all raised non</w:t>
      </w:r>
      <w:r w:rsidR="0058695D">
        <w:noBreakHyphen/>
        <w:t>reflective pavement markers shall be of the ultra hard plastic type unless otherwise directed.  Glass faced raised reflective pavement markers shall be used on all National Roads and State Freeways unless specified otherwise.</w:t>
      </w:r>
    </w:p>
    <w:p w14:paraId="0CA1353C" w14:textId="77777777" w:rsidR="004201B2" w:rsidRDefault="004201B2" w:rsidP="004201B2"/>
    <w:p w14:paraId="1F8405C2" w14:textId="77777777" w:rsidR="0058695D" w:rsidRDefault="0058695D" w:rsidP="004201B2">
      <w:pPr>
        <w:pStyle w:val="Heading5SS"/>
      </w:pPr>
      <w:r>
        <w:t>(b)</w:t>
      </w:r>
      <w:r>
        <w:tab/>
        <w:t>Adhesive</w:t>
      </w:r>
    </w:p>
    <w:p w14:paraId="26DD977B" w14:textId="77777777" w:rsidR="0058695D" w:rsidRDefault="009135A3" w:rsidP="00336B1F">
      <w:pPr>
        <w:tabs>
          <w:tab w:val="left" w:pos="454"/>
        </w:tabs>
        <w:spacing w:before="160"/>
        <w:ind w:left="454" w:hanging="454"/>
      </w:pPr>
      <w:r>
        <w:tab/>
      </w:r>
      <w:r w:rsidR="0058695D">
        <w:t>Epoxy adhesive shall be Standard Set or Rapid Set adhesive complying with the relevant requirements of AS 3554.</w:t>
      </w:r>
    </w:p>
    <w:p w14:paraId="1E08FF69" w14:textId="77777777" w:rsidR="0058695D" w:rsidRDefault="00E2342F" w:rsidP="00336B1F">
      <w:pPr>
        <w:tabs>
          <w:tab w:val="left" w:pos="454"/>
        </w:tabs>
        <w:spacing w:before="160"/>
        <w:ind w:left="454" w:hanging="454"/>
      </w:pPr>
      <w:r>
        <w:pict w14:anchorId="10CD3798">
          <v:shapetype id="_x0000_t202" coordsize="21600,21600" o:spt="202" path="m,l,21600r21600,l21600,xe">
            <v:stroke joinstyle="miter"/>
            <v:path gradientshapeok="t" o:connecttype="rect"/>
          </v:shapetype>
          <v:shape id="_x0000_s1029" type="#_x0000_t202" style="position:absolute;left:0;text-align:left;margin-left:0;margin-top:779.65pt;width:481.9pt;height:36.85pt;z-index:-251659776;mso-wrap-distance-top:5.65pt;mso-position-horizontal:center;mso-position-horizontal-relative:page;mso-position-vertical-relative:page" stroked="f">
            <v:textbox style="mso-next-textbox:#_x0000_s1029" inset="0,,0">
              <w:txbxContent>
                <w:p w14:paraId="750A4B06" w14:textId="77777777" w:rsidR="005A50BF" w:rsidRDefault="005A50BF" w:rsidP="009135A3">
                  <w:pPr>
                    <w:pBdr>
                      <w:top w:val="single" w:sz="6" w:space="1" w:color="000000"/>
                    </w:pBdr>
                    <w:spacing w:line="60" w:lineRule="exact"/>
                    <w:jc w:val="right"/>
                    <w:rPr>
                      <w:b/>
                    </w:rPr>
                  </w:pPr>
                </w:p>
                <w:p w14:paraId="26ED2229" w14:textId="3C83C720" w:rsidR="005A50BF" w:rsidRDefault="005A50BF" w:rsidP="009135A3">
                  <w:pPr>
                    <w:pBdr>
                      <w:top w:val="single" w:sz="6" w:space="1" w:color="000000"/>
                    </w:pBdr>
                    <w:jc w:val="right"/>
                  </w:pPr>
                  <w:r>
                    <w:rPr>
                      <w:b/>
                    </w:rPr>
                    <w:t>©</w:t>
                  </w:r>
                  <w:r>
                    <w:t xml:space="preserve"> </w:t>
                  </w:r>
                  <w:r w:rsidR="00E2342F">
                    <w:t>Department of Transport</w:t>
                  </w:r>
                  <w:r>
                    <w:t xml:space="preserve">  July 1998</w:t>
                  </w:r>
                </w:p>
                <w:p w14:paraId="724457D5" w14:textId="77777777" w:rsidR="005A50BF" w:rsidRDefault="005A50BF" w:rsidP="009135A3">
                  <w:pPr>
                    <w:jc w:val="right"/>
                  </w:pPr>
                  <w:r>
                    <w:t>Section 710 (Page 1 of 3)</w:t>
                  </w:r>
                </w:p>
                <w:p w14:paraId="42EA7785" w14:textId="77777777" w:rsidR="005A50BF" w:rsidRDefault="005A50BF" w:rsidP="009135A3"/>
              </w:txbxContent>
            </v:textbox>
            <w10:wrap anchorx="page" anchory="page"/>
            <w10:anchorlock/>
          </v:shape>
        </w:pict>
      </w:r>
      <w:r w:rsidR="009135A3">
        <w:tab/>
      </w:r>
      <w:r w:rsidR="0058695D">
        <w:t>Only adhesives approved for use by VicRoads shall be used.</w:t>
      </w:r>
    </w:p>
    <w:p w14:paraId="5A3B1BAF" w14:textId="77777777" w:rsidR="004E1328" w:rsidRPr="009135A3" w:rsidRDefault="0058695D" w:rsidP="00B233AE">
      <w:r w:rsidRPr="009135A3">
        <w:br w:type="page"/>
      </w:r>
    </w:p>
    <w:p w14:paraId="28A1FFC9" w14:textId="77777777" w:rsidR="0058695D" w:rsidRDefault="0058695D" w:rsidP="004E1328">
      <w:pPr>
        <w:pStyle w:val="Heading3SS"/>
      </w:pPr>
      <w:r>
        <w:t>710.04</w:t>
      </w:r>
      <w:r>
        <w:tab/>
        <w:t>MIXING EPOXY ADHESIVE</w:t>
      </w:r>
    </w:p>
    <w:p w14:paraId="69DE9B7B" w14:textId="77777777" w:rsidR="0058695D" w:rsidRDefault="0058695D" w:rsidP="003F3EDA">
      <w:pPr>
        <w:spacing w:before="200"/>
      </w:pPr>
      <w:r>
        <w:t>Adhesive components shall be batched so that the mixed adhesive contains not less than 45% nor more than 55% by volume of either component.  Before starting work each day, or when changing to a different batch of adhesive, a hand</w:t>
      </w:r>
      <w:r>
        <w:noBreakHyphen/>
        <w:t>mixed colour standard shall be prepared for reference during the day.</w:t>
      </w:r>
    </w:p>
    <w:p w14:paraId="1BFFB93E" w14:textId="77777777" w:rsidR="0058695D" w:rsidRDefault="0058695D" w:rsidP="003F3EDA">
      <w:pPr>
        <w:spacing w:before="200"/>
      </w:pPr>
      <w:r>
        <w:t>When machine mixing is used the mixing equipment shall use positive displacement pumps which proportion the two components in the specified range.  At the beginning of each day and at any other time ordered by the Superintendent, the Contractor shall check the proportions in the presence of the Superintendent.  Adhesive which has remained in the mixing head for longer than 90 seconds for rapid set adhesive or 180 seconds for standard set adhesive shall be discharged to waste.</w:t>
      </w:r>
    </w:p>
    <w:p w14:paraId="3C724728" w14:textId="77777777" w:rsidR="0058695D" w:rsidRDefault="0058695D" w:rsidP="003F3EDA">
      <w:pPr>
        <w:spacing w:before="200"/>
      </w:pPr>
      <w:r>
        <w:t>When hand</w:t>
      </w:r>
      <w:r>
        <w:noBreakHyphen/>
        <w:t>mixing is used not more than 500 g of each component shall be mixed at any time.  The components shall be mixed on a flat surface and the mixed adhesive shall be used within 10 minutes of the time the two components are brought together.</w:t>
      </w:r>
    </w:p>
    <w:p w14:paraId="072095E3" w14:textId="77777777" w:rsidR="0058695D" w:rsidRDefault="0058695D" w:rsidP="003F3EDA">
      <w:pPr>
        <w:spacing w:before="200"/>
      </w:pPr>
      <w:r>
        <w:t>Only standard set adhesive shall be mixed by hand, unless the Superintendent consents otherwise.</w:t>
      </w:r>
    </w:p>
    <w:p w14:paraId="0822DC77" w14:textId="77777777" w:rsidR="0058695D" w:rsidRDefault="0058695D" w:rsidP="004824E5">
      <w:pPr>
        <w:spacing w:line="220" w:lineRule="exact"/>
      </w:pPr>
    </w:p>
    <w:p w14:paraId="3C708125" w14:textId="77777777" w:rsidR="0058695D" w:rsidRDefault="0058695D" w:rsidP="004824E5">
      <w:pPr>
        <w:spacing w:line="220" w:lineRule="exact"/>
      </w:pPr>
    </w:p>
    <w:p w14:paraId="43173FF5" w14:textId="77777777" w:rsidR="0058695D" w:rsidRDefault="0058695D" w:rsidP="004E1328">
      <w:pPr>
        <w:pStyle w:val="Heading3SS"/>
      </w:pPr>
      <w:r>
        <w:t>710.05</w:t>
      </w:r>
      <w:r>
        <w:tab/>
        <w:t>PREPARING HOT MELT ADHESIVE</w:t>
      </w:r>
    </w:p>
    <w:p w14:paraId="6DFD79D6" w14:textId="77777777" w:rsidR="0058695D" w:rsidRDefault="0058695D" w:rsidP="003F3EDA">
      <w:pPr>
        <w:spacing w:before="200"/>
      </w:pPr>
      <w:r>
        <w:t xml:space="preserve">Hot melt bitumen adhesive shall not be used on days of total fire ban without the written approval of the Country Fire Authority. </w:t>
      </w:r>
      <w:r w:rsidR="007A5F37">
        <w:t xml:space="preserve"> </w:t>
      </w:r>
      <w:r>
        <w:t xml:space="preserve">Two </w:t>
      </w:r>
      <w:proofErr w:type="gramStart"/>
      <w:r w:rsidR="007A5F37">
        <w:t>9</w:t>
      </w:r>
      <w:r>
        <w:t> kilogram</w:t>
      </w:r>
      <w:proofErr w:type="gramEnd"/>
      <w:r>
        <w:t xml:space="preserve"> Dry Powder extinguishers and one knapsack sprayer shall be carried at all times.</w:t>
      </w:r>
    </w:p>
    <w:p w14:paraId="3037ECCC" w14:textId="77777777" w:rsidR="0058695D" w:rsidRDefault="0058695D" w:rsidP="003F3EDA">
      <w:pPr>
        <w:spacing w:before="200"/>
      </w:pPr>
      <w:r>
        <w:t>The hot melt bitumen adhesive shall be heated in accordance with the manufacturer's specification in a heater designed specifically for the purpose.  It shall be regularly stirred in the heater during the laying operation to maintain uniformity of the component proportions.</w:t>
      </w:r>
    </w:p>
    <w:p w14:paraId="6C8410DE" w14:textId="77777777" w:rsidR="004824E5" w:rsidRDefault="004824E5" w:rsidP="004824E5">
      <w:pPr>
        <w:spacing w:line="220" w:lineRule="exact"/>
      </w:pPr>
    </w:p>
    <w:p w14:paraId="21880EC9" w14:textId="77777777" w:rsidR="004824E5" w:rsidRDefault="004824E5" w:rsidP="004824E5">
      <w:pPr>
        <w:spacing w:line="220" w:lineRule="exact"/>
      </w:pPr>
    </w:p>
    <w:p w14:paraId="7BABEB7D" w14:textId="77777777" w:rsidR="0058695D" w:rsidRDefault="0058695D" w:rsidP="004E1328">
      <w:pPr>
        <w:pStyle w:val="Heading3SS"/>
      </w:pPr>
      <w:r>
        <w:t>710.</w:t>
      </w:r>
      <w:r w:rsidR="004E1328">
        <w:t>06</w:t>
      </w:r>
      <w:r w:rsidR="004E1328">
        <w:tab/>
      </w:r>
      <w:r>
        <w:t>PAVEMENT PREPARATION</w:t>
      </w:r>
    </w:p>
    <w:p w14:paraId="0D761CA4" w14:textId="77777777" w:rsidR="0058695D" w:rsidRDefault="0058695D" w:rsidP="003F3EDA">
      <w:pPr>
        <w:spacing w:before="200"/>
      </w:pPr>
      <w:r>
        <w:t>The Contractor shall sweep or air blast each marker site as necessary to remove loose material before placing markers.  Markers shall only be placed at locations where the pavement is free from dirt, oil, grease, paint, or any other material which would adversely affect the bond of the adhesive to the pavement, unless otherwise specified.</w:t>
      </w:r>
    </w:p>
    <w:p w14:paraId="0735675E" w14:textId="77777777" w:rsidR="0058695D" w:rsidRDefault="0058695D" w:rsidP="003F3EDA">
      <w:pPr>
        <w:spacing w:before="200"/>
      </w:pPr>
      <w:r>
        <w:t>Unless specified otherwise, the Contractor shall clean the pavement to remove oil or grease at every marker site by sand blasting, chipping or burning of bitumen as appropriate to ensure that the surface is clean and sound.</w:t>
      </w:r>
    </w:p>
    <w:p w14:paraId="26CB45EF" w14:textId="77777777" w:rsidR="004824E5" w:rsidRDefault="004824E5" w:rsidP="004824E5">
      <w:pPr>
        <w:spacing w:line="220" w:lineRule="exact"/>
      </w:pPr>
    </w:p>
    <w:p w14:paraId="5F46B1EC" w14:textId="77777777" w:rsidR="004824E5" w:rsidRDefault="004824E5" w:rsidP="004824E5">
      <w:pPr>
        <w:spacing w:line="220" w:lineRule="exact"/>
      </w:pPr>
    </w:p>
    <w:p w14:paraId="36248B3E" w14:textId="77777777" w:rsidR="0058695D" w:rsidRDefault="0058695D" w:rsidP="004E1328">
      <w:pPr>
        <w:pStyle w:val="Heading3SS"/>
      </w:pPr>
      <w:r>
        <w:t>710.07</w:t>
      </w:r>
      <w:r>
        <w:tab/>
        <w:t>PLACING MARKERS</w:t>
      </w:r>
    </w:p>
    <w:p w14:paraId="32FEA191" w14:textId="77777777" w:rsidR="0058695D" w:rsidRDefault="0058695D" w:rsidP="003F3EDA">
      <w:pPr>
        <w:spacing w:before="200"/>
      </w:pPr>
      <w:r>
        <w:t>Markers shall not be placed in any of the following circumstances:</w:t>
      </w:r>
    </w:p>
    <w:p w14:paraId="6D88FB8F" w14:textId="77777777" w:rsidR="0058695D" w:rsidRDefault="009135A3" w:rsidP="003F3EDA">
      <w:pPr>
        <w:tabs>
          <w:tab w:val="left" w:pos="426"/>
        </w:tabs>
        <w:spacing w:before="100"/>
        <w:ind w:left="425" w:hanging="425"/>
      </w:pPr>
      <w:r>
        <w:tab/>
      </w:r>
      <w:r w:rsidR="0058695D">
        <w:t>when the pavement is wet;</w:t>
      </w:r>
    </w:p>
    <w:p w14:paraId="3B278C85" w14:textId="77777777" w:rsidR="0058695D" w:rsidRDefault="009135A3" w:rsidP="003F3EDA">
      <w:pPr>
        <w:tabs>
          <w:tab w:val="left" w:pos="426"/>
        </w:tabs>
        <w:spacing w:before="80"/>
        <w:ind w:left="425" w:hanging="425"/>
      </w:pPr>
      <w:r>
        <w:tab/>
      </w:r>
      <w:r w:rsidR="0058695D">
        <w:t>when the relative humidity is greater than 80%;</w:t>
      </w:r>
    </w:p>
    <w:p w14:paraId="77468F9F" w14:textId="77777777" w:rsidR="0058695D" w:rsidRDefault="009135A3" w:rsidP="003F3EDA">
      <w:pPr>
        <w:tabs>
          <w:tab w:val="left" w:pos="426"/>
        </w:tabs>
        <w:spacing w:before="80"/>
        <w:ind w:left="425" w:hanging="425"/>
      </w:pPr>
      <w:r>
        <w:tab/>
      </w:r>
      <w:r w:rsidR="0058695D">
        <w:t>when the ambient temperature or the temperature of the road surface is less than 15</w:t>
      </w:r>
      <w:r w:rsidR="0058695D">
        <w:sym w:font="Symbol" w:char="F0B0"/>
      </w:r>
      <w:r w:rsidR="0058695D">
        <w:t>C for standard set adhesive or 0</w:t>
      </w:r>
      <w:r w:rsidR="0058695D">
        <w:sym w:font="Symbol" w:char="F0B0"/>
      </w:r>
      <w:r w:rsidR="0058695D">
        <w:t>C for rapid set or hot melt adhesive.</w:t>
      </w:r>
    </w:p>
    <w:p w14:paraId="6900C7A3" w14:textId="77777777" w:rsidR="0058695D" w:rsidRPr="0016566A" w:rsidRDefault="0058695D" w:rsidP="003F3EDA">
      <w:pPr>
        <w:spacing w:before="200"/>
      </w:pPr>
      <w:r w:rsidRPr="0016566A">
        <w:t xml:space="preserve">Epoxy adhesive shall be placed on the base of the marker in such quantity and manner as to completely cover the base of the marker and extrude slightly all round when the marker is placed on the road.  The marker shall be then positioned correctly on the pavement and pressure shall be applied until the adhesive is uniformly extruded from each edge of the base of the marker indicating that the full base area is supported by adhesive.  The thickness of adhesive remaining under the marker shall be approximately 1 mm.  The orientation and position of the marker should then be visually checked and if </w:t>
      </w:r>
      <w:proofErr w:type="gramStart"/>
      <w:r w:rsidRPr="0016566A">
        <w:t>necessary</w:t>
      </w:r>
      <w:proofErr w:type="gramEnd"/>
      <w:r w:rsidRPr="0016566A">
        <w:t xml:space="preserve"> immediately corrected.</w:t>
      </w:r>
    </w:p>
    <w:p w14:paraId="5DF7A23D" w14:textId="77777777" w:rsidR="00B233AE" w:rsidRDefault="00B233AE" w:rsidP="00B233AE">
      <w:pPr>
        <w:spacing w:before="200"/>
      </w:pPr>
      <w:r>
        <w:t>Hot melt bitumen adhesive shall be placed on the road in the correct position and the marker quickly placed, correctly orientated and pressed into the adhesive.</w:t>
      </w:r>
    </w:p>
    <w:p w14:paraId="0017D8D4" w14:textId="77777777" w:rsidR="0058695D" w:rsidRDefault="00E2342F" w:rsidP="003741E6">
      <w:r>
        <w:rPr>
          <w:noProof/>
          <w:lang w:eastAsia="en-AU"/>
        </w:rPr>
        <w:pict w14:anchorId="2BDA7ADE">
          <v:shape id="_x0000_s1033" type="#_x0000_t202" style="position:absolute;margin-left:0;margin-top:779.65pt;width:481.9pt;height:36.85pt;z-index:-251658752;mso-wrap-distance-top:5.65pt;mso-position-horizontal:center;mso-position-horizontal-relative:page;mso-position-vertical-relative:page" stroked="f">
            <v:textbox style="mso-next-textbox:#_x0000_s1033" inset="0,,0">
              <w:txbxContent>
                <w:p w14:paraId="423BD495" w14:textId="77777777" w:rsidR="005A50BF" w:rsidRDefault="005A50BF" w:rsidP="009135A3">
                  <w:pPr>
                    <w:pBdr>
                      <w:top w:val="single" w:sz="6" w:space="1" w:color="000000"/>
                    </w:pBdr>
                    <w:spacing w:line="60" w:lineRule="exact"/>
                    <w:jc w:val="right"/>
                    <w:rPr>
                      <w:b/>
                    </w:rPr>
                  </w:pPr>
                </w:p>
                <w:p w14:paraId="0C571F8A" w14:textId="3866D99D" w:rsidR="005A50BF" w:rsidRDefault="005A50BF" w:rsidP="009135A3">
                  <w:pPr>
                    <w:pBdr>
                      <w:top w:val="single" w:sz="6" w:space="1" w:color="000000"/>
                    </w:pBdr>
                    <w:jc w:val="right"/>
                  </w:pPr>
                  <w:r>
                    <w:rPr>
                      <w:b/>
                    </w:rPr>
                    <w:t>©</w:t>
                  </w:r>
                  <w:r>
                    <w:t xml:space="preserve"> </w:t>
                  </w:r>
                  <w:r w:rsidR="00E2342F">
                    <w:t>Department of Transport</w:t>
                  </w:r>
                  <w:r>
                    <w:t xml:space="preserve">  July 1998</w:t>
                  </w:r>
                </w:p>
                <w:p w14:paraId="0561A895" w14:textId="77777777" w:rsidR="005A50BF" w:rsidRDefault="005A50BF" w:rsidP="009135A3">
                  <w:pPr>
                    <w:jc w:val="right"/>
                  </w:pPr>
                  <w:r>
                    <w:t>Section 710 (Page 2 of 3)</w:t>
                  </w:r>
                </w:p>
                <w:p w14:paraId="0E8D1F7E" w14:textId="77777777" w:rsidR="005A50BF" w:rsidRDefault="005A50BF" w:rsidP="009135A3"/>
              </w:txbxContent>
            </v:textbox>
            <w10:wrap anchorx="page" anchory="page"/>
            <w10:anchorlock/>
          </v:shape>
        </w:pict>
      </w:r>
      <w:r w:rsidR="0058695D">
        <w:br w:type="page"/>
      </w:r>
    </w:p>
    <w:p w14:paraId="2DE5E840" w14:textId="77777777" w:rsidR="0058695D" w:rsidRDefault="0058695D" w:rsidP="00B233AE">
      <w:r>
        <w:t>Adhesive of either type on the exposed surfaces of the marker shall be removed using soft rags moistened with kerosene, petrol, or mineral turpentine.  Any adhesive on the pavement which might obscure the reflective faces or aspect of the marker shall be removed using a square</w:t>
      </w:r>
      <w:r>
        <w:noBreakHyphen/>
        <w:t>ended spatula or similar.</w:t>
      </w:r>
    </w:p>
    <w:p w14:paraId="680BB1AC" w14:textId="77777777" w:rsidR="0058695D" w:rsidRDefault="0058695D" w:rsidP="005A50BF">
      <w:pPr>
        <w:spacing w:before="200"/>
      </w:pPr>
      <w:r>
        <w:t>Where a marker is not positioned correctly within 10 seconds for hot melt bitumen adhesive, 2 minutes for rapid set machine mix adhesive, 4 minutes for standard set machine mix, or 10 minutes for standard set hand mix from the time mixing commences, it shall be discarded and a new marker placed.</w:t>
      </w:r>
    </w:p>
    <w:p w14:paraId="23ABF378" w14:textId="77777777" w:rsidR="0058695D" w:rsidRDefault="0058695D" w:rsidP="005A50BF">
      <w:pPr>
        <w:spacing w:before="200"/>
      </w:pPr>
      <w:r>
        <w:t>Similarly, any marker dislodged by traffic after these times up to the end of the maintenance period shall be removed and replaced with a new marker.</w:t>
      </w:r>
    </w:p>
    <w:p w14:paraId="16A81039" w14:textId="77777777" w:rsidR="0058695D" w:rsidRDefault="0058695D" w:rsidP="005A50BF">
      <w:pPr>
        <w:spacing w:before="200"/>
      </w:pPr>
      <w:r>
        <w:t xml:space="preserve">On concrete and asphalt pavements, wherever possible markers shall be placed clear of longitudinal or transverse joints and on all </w:t>
      </w:r>
      <w:proofErr w:type="gramStart"/>
      <w:r>
        <w:t>pavements</w:t>
      </w:r>
      <w:proofErr w:type="gramEnd"/>
      <w:r>
        <w:t xml:space="preserve"> markers shall be placed clear of any surface cracks or positions from which markers have been removed and the surface is damaged.</w:t>
      </w:r>
    </w:p>
    <w:p w14:paraId="48831513" w14:textId="77777777" w:rsidR="0058695D" w:rsidRDefault="0058695D" w:rsidP="00B233AE"/>
    <w:p w14:paraId="67CC66D9" w14:textId="77777777" w:rsidR="0058695D" w:rsidRDefault="0058695D" w:rsidP="009135A3"/>
    <w:p w14:paraId="279270B8" w14:textId="77777777" w:rsidR="0058695D" w:rsidRDefault="0058695D" w:rsidP="004E1328">
      <w:pPr>
        <w:pStyle w:val="Heading3SS"/>
      </w:pPr>
      <w:r>
        <w:t>710.08</w:t>
      </w:r>
      <w:r>
        <w:tab/>
        <w:t>PROTECTION FROM TRAFFIC</w:t>
      </w:r>
    </w:p>
    <w:p w14:paraId="37FB0D2C" w14:textId="77777777" w:rsidR="0058695D" w:rsidRDefault="0058695D" w:rsidP="005A50BF">
      <w:pPr>
        <w:spacing w:before="200"/>
      </w:pPr>
      <w:r>
        <w:t>Markers shall be protected from traffic after placing for periods not less than those shown in Table 710.081 below, unless the Superintendent directs or consents otherwise.</w:t>
      </w:r>
    </w:p>
    <w:p w14:paraId="35353204" w14:textId="77777777" w:rsidR="0058695D" w:rsidRDefault="0058695D" w:rsidP="009135A3"/>
    <w:p w14:paraId="54CCA5E8" w14:textId="77777777" w:rsidR="0058695D" w:rsidRPr="00B233AE" w:rsidRDefault="0058695D" w:rsidP="009135A3">
      <w:pPr>
        <w:rPr>
          <w:b/>
        </w:rPr>
      </w:pPr>
      <w:r w:rsidRPr="00B233AE">
        <w:rPr>
          <w:b/>
        </w:rPr>
        <w:t>Table 710.081</w:t>
      </w:r>
    </w:p>
    <w:tbl>
      <w:tblPr>
        <w:tblW w:w="0" w:type="auto"/>
        <w:jc w:val="center"/>
        <w:tblLayout w:type="fixed"/>
        <w:tblCellMar>
          <w:top w:w="102" w:type="dxa"/>
          <w:left w:w="85" w:type="dxa"/>
          <w:bottom w:w="57" w:type="dxa"/>
          <w:right w:w="85" w:type="dxa"/>
        </w:tblCellMar>
        <w:tblLook w:val="0000" w:firstRow="0" w:lastRow="0" w:firstColumn="0" w:lastColumn="0" w:noHBand="0" w:noVBand="0"/>
      </w:tblPr>
      <w:tblGrid>
        <w:gridCol w:w="1467"/>
        <w:gridCol w:w="1701"/>
        <w:gridCol w:w="1701"/>
        <w:gridCol w:w="1748"/>
      </w:tblGrid>
      <w:tr w:rsidR="0058695D" w14:paraId="2D3543A7" w14:textId="77777777" w:rsidTr="006F7481">
        <w:trPr>
          <w:cantSplit/>
          <w:jc w:val="center"/>
        </w:trPr>
        <w:tc>
          <w:tcPr>
            <w:tcW w:w="1467" w:type="dxa"/>
            <w:tcBorders>
              <w:top w:val="single" w:sz="12" w:space="0" w:color="auto"/>
              <w:left w:val="single" w:sz="12" w:space="0" w:color="auto"/>
              <w:bottom w:val="single" w:sz="12" w:space="0" w:color="auto"/>
              <w:right w:val="single" w:sz="6" w:space="0" w:color="FFFFFF"/>
            </w:tcBorders>
            <w:tcMar>
              <w:top w:w="57" w:type="dxa"/>
              <w:bottom w:w="23" w:type="dxa"/>
            </w:tcMar>
            <w:vAlign w:val="center"/>
          </w:tcPr>
          <w:p w14:paraId="4A05A90C" w14:textId="77777777" w:rsidR="0058695D" w:rsidRPr="009135A3" w:rsidRDefault="0058695D" w:rsidP="009135A3">
            <w:pPr>
              <w:jc w:val="center"/>
              <w:rPr>
                <w:b/>
              </w:rPr>
            </w:pPr>
            <w:r w:rsidRPr="009135A3">
              <w:rPr>
                <w:b/>
              </w:rPr>
              <w:t>Ambient</w:t>
            </w:r>
            <w:r w:rsidR="009135A3" w:rsidRPr="009135A3">
              <w:rPr>
                <w:b/>
              </w:rPr>
              <w:t xml:space="preserve"> </w:t>
            </w:r>
            <w:r w:rsidRPr="009135A3">
              <w:rPr>
                <w:b/>
              </w:rPr>
              <w:t>Temperature</w:t>
            </w:r>
          </w:p>
          <w:p w14:paraId="5632FD30" w14:textId="77777777" w:rsidR="0058695D" w:rsidRPr="009135A3" w:rsidRDefault="0058695D" w:rsidP="009135A3">
            <w:pPr>
              <w:jc w:val="center"/>
              <w:rPr>
                <w:b/>
              </w:rPr>
            </w:pPr>
            <w:r w:rsidRPr="009135A3">
              <w:rPr>
                <w:b/>
              </w:rPr>
              <w:t>(</w:t>
            </w:r>
            <w:r w:rsidRPr="009135A3">
              <w:rPr>
                <w:b/>
              </w:rPr>
              <w:sym w:font="Symbol" w:char="F0B0"/>
            </w:r>
            <w:r w:rsidRPr="009135A3">
              <w:rPr>
                <w:b/>
              </w:rPr>
              <w:t>C)</w:t>
            </w:r>
          </w:p>
        </w:tc>
        <w:tc>
          <w:tcPr>
            <w:tcW w:w="1701" w:type="dxa"/>
            <w:tcBorders>
              <w:top w:val="single" w:sz="12" w:space="0" w:color="auto"/>
              <w:left w:val="single" w:sz="7" w:space="0" w:color="000000"/>
              <w:bottom w:val="single" w:sz="12" w:space="0" w:color="auto"/>
              <w:right w:val="single" w:sz="6" w:space="0" w:color="FFFFFF"/>
            </w:tcBorders>
            <w:tcMar>
              <w:top w:w="57" w:type="dxa"/>
              <w:bottom w:w="23" w:type="dxa"/>
            </w:tcMar>
            <w:vAlign w:val="center"/>
          </w:tcPr>
          <w:p w14:paraId="7D27ED61" w14:textId="77777777" w:rsidR="0058695D" w:rsidRPr="009135A3" w:rsidRDefault="0058695D" w:rsidP="009135A3">
            <w:pPr>
              <w:jc w:val="center"/>
              <w:rPr>
                <w:b/>
              </w:rPr>
            </w:pPr>
            <w:r w:rsidRPr="009135A3">
              <w:rPr>
                <w:b/>
              </w:rPr>
              <w:t>Standard Set</w:t>
            </w:r>
            <w:r w:rsidR="009135A3" w:rsidRPr="009135A3">
              <w:rPr>
                <w:b/>
              </w:rPr>
              <w:t xml:space="preserve"> </w:t>
            </w:r>
            <w:r w:rsidRPr="009135A3">
              <w:rPr>
                <w:b/>
              </w:rPr>
              <w:t>Adhesive</w:t>
            </w:r>
          </w:p>
          <w:p w14:paraId="7FCAA55C" w14:textId="77777777" w:rsidR="0058695D" w:rsidRPr="009135A3" w:rsidRDefault="0058695D" w:rsidP="009135A3">
            <w:pPr>
              <w:jc w:val="center"/>
              <w:rPr>
                <w:b/>
              </w:rPr>
            </w:pPr>
            <w:r w:rsidRPr="009135A3">
              <w:rPr>
                <w:b/>
              </w:rPr>
              <w:t>(hours) (min)</w:t>
            </w:r>
          </w:p>
        </w:tc>
        <w:tc>
          <w:tcPr>
            <w:tcW w:w="1701" w:type="dxa"/>
            <w:tcBorders>
              <w:top w:val="single" w:sz="12" w:space="0" w:color="auto"/>
              <w:left w:val="single" w:sz="7" w:space="0" w:color="000000"/>
              <w:bottom w:val="single" w:sz="12" w:space="0" w:color="auto"/>
              <w:right w:val="single" w:sz="6" w:space="0" w:color="FFFFFF"/>
            </w:tcBorders>
            <w:tcMar>
              <w:top w:w="57" w:type="dxa"/>
              <w:bottom w:w="23" w:type="dxa"/>
            </w:tcMar>
            <w:vAlign w:val="center"/>
          </w:tcPr>
          <w:p w14:paraId="1C36B5D5" w14:textId="77777777" w:rsidR="0058695D" w:rsidRPr="009135A3" w:rsidRDefault="0058695D" w:rsidP="009135A3">
            <w:pPr>
              <w:jc w:val="center"/>
              <w:rPr>
                <w:b/>
              </w:rPr>
            </w:pPr>
            <w:r w:rsidRPr="009135A3">
              <w:rPr>
                <w:b/>
              </w:rPr>
              <w:t>Rapid Set</w:t>
            </w:r>
            <w:r w:rsidR="009135A3" w:rsidRPr="009135A3">
              <w:rPr>
                <w:b/>
              </w:rPr>
              <w:t xml:space="preserve"> </w:t>
            </w:r>
            <w:r w:rsidRPr="009135A3">
              <w:rPr>
                <w:b/>
              </w:rPr>
              <w:t>Adhesive</w:t>
            </w:r>
          </w:p>
          <w:p w14:paraId="79EA6625" w14:textId="77777777" w:rsidR="0058695D" w:rsidRPr="009135A3" w:rsidRDefault="0058695D" w:rsidP="009135A3">
            <w:pPr>
              <w:jc w:val="center"/>
              <w:rPr>
                <w:b/>
              </w:rPr>
            </w:pPr>
            <w:r w:rsidRPr="009135A3">
              <w:rPr>
                <w:b/>
              </w:rPr>
              <w:t>(minutes) (min)</w:t>
            </w:r>
          </w:p>
        </w:tc>
        <w:tc>
          <w:tcPr>
            <w:tcW w:w="1748" w:type="dxa"/>
            <w:tcBorders>
              <w:top w:val="single" w:sz="12" w:space="0" w:color="auto"/>
              <w:left w:val="single" w:sz="7" w:space="0" w:color="000000"/>
              <w:bottom w:val="single" w:sz="12" w:space="0" w:color="auto"/>
              <w:right w:val="single" w:sz="12" w:space="0" w:color="auto"/>
            </w:tcBorders>
            <w:tcMar>
              <w:top w:w="57" w:type="dxa"/>
              <w:bottom w:w="23" w:type="dxa"/>
            </w:tcMar>
            <w:vAlign w:val="center"/>
          </w:tcPr>
          <w:p w14:paraId="305D9B5E" w14:textId="77777777" w:rsidR="0058695D" w:rsidRPr="009135A3" w:rsidRDefault="0058695D" w:rsidP="009135A3">
            <w:pPr>
              <w:jc w:val="center"/>
              <w:rPr>
                <w:b/>
              </w:rPr>
            </w:pPr>
            <w:r w:rsidRPr="009135A3">
              <w:rPr>
                <w:b/>
              </w:rPr>
              <w:t>Hot Melt</w:t>
            </w:r>
            <w:r w:rsidR="009135A3" w:rsidRPr="009135A3">
              <w:rPr>
                <w:b/>
              </w:rPr>
              <w:t xml:space="preserve"> </w:t>
            </w:r>
            <w:r w:rsidRPr="009135A3">
              <w:rPr>
                <w:b/>
              </w:rPr>
              <w:t>Adhesive</w:t>
            </w:r>
          </w:p>
          <w:p w14:paraId="121E3DCB" w14:textId="77777777" w:rsidR="0058695D" w:rsidRPr="009135A3" w:rsidRDefault="0058695D" w:rsidP="009135A3">
            <w:pPr>
              <w:jc w:val="center"/>
              <w:rPr>
                <w:b/>
              </w:rPr>
            </w:pPr>
            <w:r w:rsidRPr="009135A3">
              <w:rPr>
                <w:b/>
              </w:rPr>
              <w:t>(minutes) (min)</w:t>
            </w:r>
          </w:p>
        </w:tc>
      </w:tr>
      <w:tr w:rsidR="0058695D" w14:paraId="2819BC7C" w14:textId="77777777" w:rsidTr="006F7481">
        <w:trPr>
          <w:cantSplit/>
          <w:jc w:val="center"/>
        </w:trPr>
        <w:tc>
          <w:tcPr>
            <w:tcW w:w="1467" w:type="dxa"/>
            <w:tcBorders>
              <w:top w:val="single" w:sz="12" w:space="0" w:color="auto"/>
              <w:left w:val="single" w:sz="12" w:space="0" w:color="auto"/>
              <w:bottom w:val="single" w:sz="6" w:space="0" w:color="FFFFFF"/>
              <w:right w:val="single" w:sz="6" w:space="0" w:color="FFFFFF"/>
            </w:tcBorders>
          </w:tcPr>
          <w:p w14:paraId="6F712C44" w14:textId="77777777" w:rsidR="0058695D" w:rsidRDefault="0058695D" w:rsidP="009135A3">
            <w:pPr>
              <w:jc w:val="center"/>
            </w:pPr>
            <w:r>
              <w:t>35</w:t>
            </w:r>
          </w:p>
        </w:tc>
        <w:tc>
          <w:tcPr>
            <w:tcW w:w="1701" w:type="dxa"/>
            <w:tcBorders>
              <w:top w:val="single" w:sz="12" w:space="0" w:color="auto"/>
              <w:left w:val="single" w:sz="7" w:space="0" w:color="000000"/>
              <w:bottom w:val="single" w:sz="6" w:space="0" w:color="FFFFFF"/>
              <w:right w:val="single" w:sz="6" w:space="0" w:color="FFFFFF"/>
            </w:tcBorders>
          </w:tcPr>
          <w:p w14:paraId="63BC1B4C" w14:textId="77777777" w:rsidR="0058695D" w:rsidRDefault="0058695D" w:rsidP="009135A3">
            <w:pPr>
              <w:jc w:val="center"/>
            </w:pPr>
            <w:r>
              <w:t>1</w:t>
            </w:r>
            <w:r w:rsidR="00C12FC8">
              <w:t>¼</w:t>
            </w:r>
          </w:p>
        </w:tc>
        <w:tc>
          <w:tcPr>
            <w:tcW w:w="1701" w:type="dxa"/>
            <w:tcBorders>
              <w:top w:val="single" w:sz="12" w:space="0" w:color="auto"/>
              <w:left w:val="single" w:sz="7" w:space="0" w:color="000000"/>
              <w:bottom w:val="single" w:sz="6" w:space="0" w:color="FFFFFF"/>
              <w:right w:val="single" w:sz="6" w:space="0" w:color="FFFFFF"/>
            </w:tcBorders>
          </w:tcPr>
          <w:p w14:paraId="42701058" w14:textId="77777777" w:rsidR="0058695D" w:rsidRDefault="0058695D" w:rsidP="009135A3">
            <w:pPr>
              <w:jc w:val="center"/>
            </w:pPr>
            <w:r>
              <w:t>25</w:t>
            </w:r>
          </w:p>
        </w:tc>
        <w:tc>
          <w:tcPr>
            <w:tcW w:w="1748" w:type="dxa"/>
            <w:tcBorders>
              <w:top w:val="single" w:sz="12" w:space="0" w:color="auto"/>
              <w:left w:val="single" w:sz="7" w:space="0" w:color="000000"/>
              <w:bottom w:val="single" w:sz="6" w:space="0" w:color="FFFFFF"/>
              <w:right w:val="single" w:sz="12" w:space="0" w:color="auto"/>
            </w:tcBorders>
          </w:tcPr>
          <w:p w14:paraId="602FE2B9" w14:textId="77777777" w:rsidR="0058695D" w:rsidRDefault="0058695D" w:rsidP="009135A3">
            <w:pPr>
              <w:jc w:val="center"/>
            </w:pPr>
            <w:r>
              <w:t>4</w:t>
            </w:r>
          </w:p>
        </w:tc>
      </w:tr>
      <w:tr w:rsidR="0058695D" w14:paraId="32EE39BC" w14:textId="77777777" w:rsidTr="006F7481">
        <w:trPr>
          <w:cantSplit/>
          <w:jc w:val="center"/>
        </w:trPr>
        <w:tc>
          <w:tcPr>
            <w:tcW w:w="1467" w:type="dxa"/>
            <w:tcBorders>
              <w:top w:val="single" w:sz="6" w:space="0" w:color="FFFFFF"/>
              <w:left w:val="single" w:sz="12" w:space="0" w:color="auto"/>
              <w:bottom w:val="single" w:sz="6" w:space="0" w:color="FFFFFF"/>
              <w:right w:val="single" w:sz="6" w:space="0" w:color="FFFFFF"/>
            </w:tcBorders>
          </w:tcPr>
          <w:p w14:paraId="7E609C63" w14:textId="77777777" w:rsidR="0058695D" w:rsidRDefault="0058695D" w:rsidP="009135A3">
            <w:pPr>
              <w:jc w:val="center"/>
            </w:pPr>
            <w:r>
              <w:t>30</w:t>
            </w:r>
          </w:p>
        </w:tc>
        <w:tc>
          <w:tcPr>
            <w:tcW w:w="1701" w:type="dxa"/>
            <w:tcBorders>
              <w:top w:val="single" w:sz="6" w:space="0" w:color="FFFFFF"/>
              <w:left w:val="single" w:sz="7" w:space="0" w:color="000000"/>
              <w:bottom w:val="single" w:sz="6" w:space="0" w:color="FFFFFF"/>
              <w:right w:val="single" w:sz="6" w:space="0" w:color="FFFFFF"/>
            </w:tcBorders>
          </w:tcPr>
          <w:p w14:paraId="5B5C7CC5" w14:textId="77777777" w:rsidR="0058695D" w:rsidRDefault="0058695D" w:rsidP="009135A3">
            <w:pPr>
              <w:jc w:val="center"/>
            </w:pPr>
            <w:r>
              <w:t>2</w:t>
            </w:r>
          </w:p>
        </w:tc>
        <w:tc>
          <w:tcPr>
            <w:tcW w:w="1701" w:type="dxa"/>
            <w:tcBorders>
              <w:top w:val="single" w:sz="6" w:space="0" w:color="FFFFFF"/>
              <w:left w:val="single" w:sz="7" w:space="0" w:color="000000"/>
              <w:bottom w:val="single" w:sz="6" w:space="0" w:color="FFFFFF"/>
              <w:right w:val="single" w:sz="6" w:space="0" w:color="FFFFFF"/>
            </w:tcBorders>
          </w:tcPr>
          <w:p w14:paraId="062B86AF" w14:textId="77777777" w:rsidR="0058695D" w:rsidRDefault="0058695D" w:rsidP="009135A3">
            <w:pPr>
              <w:jc w:val="center"/>
            </w:pPr>
            <w:r>
              <w:t>30</w:t>
            </w:r>
          </w:p>
        </w:tc>
        <w:tc>
          <w:tcPr>
            <w:tcW w:w="1748" w:type="dxa"/>
            <w:tcBorders>
              <w:top w:val="single" w:sz="6" w:space="0" w:color="FFFFFF"/>
              <w:left w:val="single" w:sz="7" w:space="0" w:color="000000"/>
              <w:bottom w:val="single" w:sz="6" w:space="0" w:color="FFFFFF"/>
              <w:right w:val="single" w:sz="12" w:space="0" w:color="auto"/>
            </w:tcBorders>
          </w:tcPr>
          <w:p w14:paraId="4EDA9761" w14:textId="77777777" w:rsidR="0058695D" w:rsidRDefault="0058695D" w:rsidP="009135A3">
            <w:pPr>
              <w:jc w:val="center"/>
            </w:pPr>
            <w:r>
              <w:t>4</w:t>
            </w:r>
          </w:p>
        </w:tc>
      </w:tr>
      <w:tr w:rsidR="0058695D" w14:paraId="46383EB5" w14:textId="77777777" w:rsidTr="006F7481">
        <w:trPr>
          <w:cantSplit/>
          <w:jc w:val="center"/>
        </w:trPr>
        <w:tc>
          <w:tcPr>
            <w:tcW w:w="1467" w:type="dxa"/>
            <w:tcBorders>
              <w:top w:val="single" w:sz="6" w:space="0" w:color="FFFFFF"/>
              <w:left w:val="single" w:sz="12" w:space="0" w:color="auto"/>
              <w:bottom w:val="single" w:sz="6" w:space="0" w:color="FFFFFF"/>
              <w:right w:val="single" w:sz="6" w:space="0" w:color="FFFFFF"/>
            </w:tcBorders>
          </w:tcPr>
          <w:p w14:paraId="78299E6F" w14:textId="77777777" w:rsidR="0058695D" w:rsidRDefault="0058695D" w:rsidP="009135A3">
            <w:pPr>
              <w:jc w:val="center"/>
            </w:pPr>
            <w:r>
              <w:t>25</w:t>
            </w:r>
          </w:p>
        </w:tc>
        <w:tc>
          <w:tcPr>
            <w:tcW w:w="1701" w:type="dxa"/>
            <w:tcBorders>
              <w:top w:val="single" w:sz="6" w:space="0" w:color="FFFFFF"/>
              <w:left w:val="single" w:sz="7" w:space="0" w:color="000000"/>
              <w:bottom w:val="single" w:sz="6" w:space="0" w:color="FFFFFF"/>
              <w:right w:val="single" w:sz="6" w:space="0" w:color="FFFFFF"/>
            </w:tcBorders>
          </w:tcPr>
          <w:p w14:paraId="6FB010EA" w14:textId="77777777" w:rsidR="0058695D" w:rsidRDefault="0058695D" w:rsidP="009135A3">
            <w:pPr>
              <w:jc w:val="center"/>
            </w:pPr>
            <w:r>
              <w:t>3</w:t>
            </w:r>
            <w:r w:rsidR="007B78CD">
              <w:t>½</w:t>
            </w:r>
          </w:p>
        </w:tc>
        <w:tc>
          <w:tcPr>
            <w:tcW w:w="1701" w:type="dxa"/>
            <w:tcBorders>
              <w:top w:val="single" w:sz="6" w:space="0" w:color="FFFFFF"/>
              <w:left w:val="single" w:sz="7" w:space="0" w:color="000000"/>
              <w:bottom w:val="single" w:sz="6" w:space="0" w:color="FFFFFF"/>
              <w:right w:val="single" w:sz="6" w:space="0" w:color="FFFFFF"/>
            </w:tcBorders>
          </w:tcPr>
          <w:p w14:paraId="5085E64E" w14:textId="77777777" w:rsidR="0058695D" w:rsidRDefault="0058695D" w:rsidP="009135A3">
            <w:pPr>
              <w:jc w:val="center"/>
            </w:pPr>
            <w:r>
              <w:t>35</w:t>
            </w:r>
          </w:p>
        </w:tc>
        <w:tc>
          <w:tcPr>
            <w:tcW w:w="1748" w:type="dxa"/>
            <w:tcBorders>
              <w:top w:val="single" w:sz="6" w:space="0" w:color="FFFFFF"/>
              <w:left w:val="single" w:sz="7" w:space="0" w:color="000000"/>
              <w:bottom w:val="single" w:sz="6" w:space="0" w:color="FFFFFF"/>
              <w:right w:val="single" w:sz="12" w:space="0" w:color="auto"/>
            </w:tcBorders>
          </w:tcPr>
          <w:p w14:paraId="3BE11D92" w14:textId="77777777" w:rsidR="0058695D" w:rsidRDefault="0058695D" w:rsidP="009135A3">
            <w:pPr>
              <w:jc w:val="center"/>
            </w:pPr>
            <w:r>
              <w:t>3</w:t>
            </w:r>
          </w:p>
        </w:tc>
      </w:tr>
      <w:tr w:rsidR="0058695D" w14:paraId="71A9FFC2" w14:textId="77777777" w:rsidTr="006F7481">
        <w:trPr>
          <w:cantSplit/>
          <w:jc w:val="center"/>
        </w:trPr>
        <w:tc>
          <w:tcPr>
            <w:tcW w:w="1467" w:type="dxa"/>
            <w:tcBorders>
              <w:top w:val="single" w:sz="6" w:space="0" w:color="FFFFFF"/>
              <w:left w:val="single" w:sz="12" w:space="0" w:color="auto"/>
              <w:bottom w:val="single" w:sz="6" w:space="0" w:color="FFFFFF"/>
              <w:right w:val="single" w:sz="6" w:space="0" w:color="FFFFFF"/>
            </w:tcBorders>
          </w:tcPr>
          <w:p w14:paraId="76CA8955" w14:textId="77777777" w:rsidR="0058695D" w:rsidRDefault="0058695D" w:rsidP="009135A3">
            <w:pPr>
              <w:jc w:val="center"/>
            </w:pPr>
            <w:r>
              <w:t>15</w:t>
            </w:r>
          </w:p>
        </w:tc>
        <w:tc>
          <w:tcPr>
            <w:tcW w:w="1701" w:type="dxa"/>
            <w:tcBorders>
              <w:top w:val="single" w:sz="6" w:space="0" w:color="FFFFFF"/>
              <w:left w:val="single" w:sz="7" w:space="0" w:color="000000"/>
              <w:bottom w:val="single" w:sz="6" w:space="0" w:color="FFFFFF"/>
              <w:right w:val="single" w:sz="6" w:space="0" w:color="FFFFFF"/>
            </w:tcBorders>
          </w:tcPr>
          <w:p w14:paraId="53036B14" w14:textId="77777777" w:rsidR="0058695D" w:rsidRDefault="0058695D" w:rsidP="009135A3">
            <w:pPr>
              <w:jc w:val="center"/>
            </w:pPr>
            <w:r>
              <w:t>6</w:t>
            </w:r>
          </w:p>
        </w:tc>
        <w:tc>
          <w:tcPr>
            <w:tcW w:w="1701" w:type="dxa"/>
            <w:tcBorders>
              <w:top w:val="single" w:sz="6" w:space="0" w:color="FFFFFF"/>
              <w:left w:val="single" w:sz="7" w:space="0" w:color="000000"/>
              <w:bottom w:val="single" w:sz="6" w:space="0" w:color="FFFFFF"/>
              <w:right w:val="single" w:sz="6" w:space="0" w:color="FFFFFF"/>
            </w:tcBorders>
          </w:tcPr>
          <w:p w14:paraId="452FB901" w14:textId="77777777" w:rsidR="0058695D" w:rsidRDefault="0058695D" w:rsidP="009135A3">
            <w:pPr>
              <w:jc w:val="center"/>
            </w:pPr>
            <w:r>
              <w:t>40</w:t>
            </w:r>
          </w:p>
        </w:tc>
        <w:tc>
          <w:tcPr>
            <w:tcW w:w="1748" w:type="dxa"/>
            <w:tcBorders>
              <w:top w:val="single" w:sz="6" w:space="0" w:color="FFFFFF"/>
              <w:left w:val="single" w:sz="7" w:space="0" w:color="000000"/>
              <w:bottom w:val="single" w:sz="6" w:space="0" w:color="FFFFFF"/>
              <w:right w:val="single" w:sz="12" w:space="0" w:color="auto"/>
            </w:tcBorders>
          </w:tcPr>
          <w:p w14:paraId="52D933ED" w14:textId="77777777" w:rsidR="0058695D" w:rsidRDefault="0058695D" w:rsidP="009135A3">
            <w:pPr>
              <w:jc w:val="center"/>
            </w:pPr>
            <w:r>
              <w:t>3</w:t>
            </w:r>
          </w:p>
        </w:tc>
      </w:tr>
      <w:tr w:rsidR="0058695D" w14:paraId="25E6B7B3" w14:textId="77777777" w:rsidTr="006F7481">
        <w:trPr>
          <w:cantSplit/>
          <w:jc w:val="center"/>
        </w:trPr>
        <w:tc>
          <w:tcPr>
            <w:tcW w:w="1467" w:type="dxa"/>
            <w:tcBorders>
              <w:top w:val="single" w:sz="6" w:space="0" w:color="FFFFFF"/>
              <w:left w:val="single" w:sz="12" w:space="0" w:color="auto"/>
              <w:bottom w:val="single" w:sz="6" w:space="0" w:color="FFFFFF"/>
              <w:right w:val="single" w:sz="6" w:space="0" w:color="FFFFFF"/>
            </w:tcBorders>
          </w:tcPr>
          <w:p w14:paraId="21C5AE90" w14:textId="77777777" w:rsidR="0058695D" w:rsidRDefault="0058695D" w:rsidP="009135A3">
            <w:pPr>
              <w:jc w:val="center"/>
            </w:pPr>
            <w:r>
              <w:t>10</w:t>
            </w:r>
          </w:p>
        </w:tc>
        <w:tc>
          <w:tcPr>
            <w:tcW w:w="1701" w:type="dxa"/>
            <w:tcBorders>
              <w:top w:val="single" w:sz="6" w:space="0" w:color="FFFFFF"/>
              <w:left w:val="single" w:sz="7" w:space="0" w:color="000000"/>
              <w:bottom w:val="single" w:sz="6" w:space="0" w:color="FFFFFF"/>
              <w:right w:val="single" w:sz="6" w:space="0" w:color="FFFFFF"/>
            </w:tcBorders>
          </w:tcPr>
          <w:p w14:paraId="37C6922B" w14:textId="77777777" w:rsidR="0058695D" w:rsidRDefault="0058695D" w:rsidP="009135A3">
            <w:pPr>
              <w:jc w:val="center"/>
            </w:pPr>
            <w:r>
              <w:noBreakHyphen/>
            </w:r>
          </w:p>
        </w:tc>
        <w:tc>
          <w:tcPr>
            <w:tcW w:w="1701" w:type="dxa"/>
            <w:tcBorders>
              <w:top w:val="single" w:sz="6" w:space="0" w:color="FFFFFF"/>
              <w:left w:val="single" w:sz="7" w:space="0" w:color="000000"/>
              <w:bottom w:val="single" w:sz="6" w:space="0" w:color="FFFFFF"/>
              <w:right w:val="single" w:sz="6" w:space="0" w:color="FFFFFF"/>
            </w:tcBorders>
          </w:tcPr>
          <w:p w14:paraId="57E25CE0" w14:textId="77777777" w:rsidR="0058695D" w:rsidRDefault="0058695D" w:rsidP="009135A3">
            <w:pPr>
              <w:jc w:val="center"/>
            </w:pPr>
            <w:r>
              <w:t>45</w:t>
            </w:r>
          </w:p>
        </w:tc>
        <w:tc>
          <w:tcPr>
            <w:tcW w:w="1748" w:type="dxa"/>
            <w:tcBorders>
              <w:top w:val="single" w:sz="6" w:space="0" w:color="FFFFFF"/>
              <w:left w:val="single" w:sz="7" w:space="0" w:color="000000"/>
              <w:bottom w:val="single" w:sz="6" w:space="0" w:color="FFFFFF"/>
              <w:right w:val="single" w:sz="12" w:space="0" w:color="auto"/>
            </w:tcBorders>
          </w:tcPr>
          <w:p w14:paraId="2211F4BD" w14:textId="77777777" w:rsidR="0058695D" w:rsidRDefault="0058695D" w:rsidP="009135A3">
            <w:pPr>
              <w:jc w:val="center"/>
            </w:pPr>
            <w:r>
              <w:t>2</w:t>
            </w:r>
          </w:p>
        </w:tc>
      </w:tr>
      <w:tr w:rsidR="0058695D" w14:paraId="0FF3596C" w14:textId="77777777" w:rsidTr="006F7481">
        <w:trPr>
          <w:cantSplit/>
          <w:jc w:val="center"/>
        </w:trPr>
        <w:tc>
          <w:tcPr>
            <w:tcW w:w="1467" w:type="dxa"/>
            <w:tcBorders>
              <w:top w:val="single" w:sz="6" w:space="0" w:color="FFFFFF"/>
              <w:left w:val="single" w:sz="12" w:space="0" w:color="auto"/>
              <w:bottom w:val="single" w:sz="6" w:space="0" w:color="FFFFFF"/>
              <w:right w:val="single" w:sz="6" w:space="0" w:color="FFFFFF"/>
            </w:tcBorders>
          </w:tcPr>
          <w:p w14:paraId="1F221AFB" w14:textId="77777777" w:rsidR="0058695D" w:rsidRDefault="0058695D" w:rsidP="009135A3">
            <w:pPr>
              <w:jc w:val="center"/>
            </w:pPr>
            <w:r>
              <w:t>5</w:t>
            </w:r>
          </w:p>
        </w:tc>
        <w:tc>
          <w:tcPr>
            <w:tcW w:w="1701" w:type="dxa"/>
            <w:tcBorders>
              <w:top w:val="single" w:sz="6" w:space="0" w:color="FFFFFF"/>
              <w:left w:val="single" w:sz="7" w:space="0" w:color="000000"/>
              <w:bottom w:val="single" w:sz="6" w:space="0" w:color="FFFFFF"/>
              <w:right w:val="single" w:sz="6" w:space="0" w:color="FFFFFF"/>
            </w:tcBorders>
          </w:tcPr>
          <w:p w14:paraId="7A71D790" w14:textId="77777777" w:rsidR="0058695D" w:rsidRDefault="0058695D" w:rsidP="009135A3">
            <w:pPr>
              <w:jc w:val="center"/>
            </w:pPr>
            <w:r>
              <w:noBreakHyphen/>
            </w:r>
          </w:p>
        </w:tc>
        <w:tc>
          <w:tcPr>
            <w:tcW w:w="1701" w:type="dxa"/>
            <w:tcBorders>
              <w:top w:val="single" w:sz="6" w:space="0" w:color="FFFFFF"/>
              <w:left w:val="single" w:sz="7" w:space="0" w:color="000000"/>
              <w:bottom w:val="single" w:sz="6" w:space="0" w:color="FFFFFF"/>
              <w:right w:val="single" w:sz="6" w:space="0" w:color="FFFFFF"/>
            </w:tcBorders>
          </w:tcPr>
          <w:p w14:paraId="7C679AFB" w14:textId="77777777" w:rsidR="0058695D" w:rsidRDefault="0058695D" w:rsidP="009135A3">
            <w:pPr>
              <w:jc w:val="center"/>
            </w:pPr>
            <w:r>
              <w:t>60</w:t>
            </w:r>
          </w:p>
        </w:tc>
        <w:tc>
          <w:tcPr>
            <w:tcW w:w="1748" w:type="dxa"/>
            <w:tcBorders>
              <w:top w:val="single" w:sz="6" w:space="0" w:color="FFFFFF"/>
              <w:left w:val="single" w:sz="7" w:space="0" w:color="000000"/>
              <w:bottom w:val="single" w:sz="6" w:space="0" w:color="FFFFFF"/>
              <w:right w:val="single" w:sz="12" w:space="0" w:color="auto"/>
            </w:tcBorders>
          </w:tcPr>
          <w:p w14:paraId="2DB19023" w14:textId="77777777" w:rsidR="0058695D" w:rsidRDefault="0058695D" w:rsidP="009135A3">
            <w:pPr>
              <w:jc w:val="center"/>
            </w:pPr>
            <w:r>
              <w:t>2</w:t>
            </w:r>
          </w:p>
        </w:tc>
      </w:tr>
      <w:tr w:rsidR="0058695D" w14:paraId="604F3D5D" w14:textId="77777777" w:rsidTr="006F7481">
        <w:trPr>
          <w:cantSplit/>
          <w:jc w:val="center"/>
        </w:trPr>
        <w:tc>
          <w:tcPr>
            <w:tcW w:w="1467" w:type="dxa"/>
            <w:tcBorders>
              <w:top w:val="single" w:sz="6" w:space="0" w:color="FFFFFF"/>
              <w:left w:val="single" w:sz="12" w:space="0" w:color="auto"/>
              <w:bottom w:val="single" w:sz="12" w:space="0" w:color="auto"/>
              <w:right w:val="single" w:sz="6" w:space="0" w:color="FFFFFF"/>
            </w:tcBorders>
          </w:tcPr>
          <w:p w14:paraId="05BA3B63" w14:textId="77777777" w:rsidR="0058695D" w:rsidRDefault="0058695D" w:rsidP="009135A3">
            <w:pPr>
              <w:jc w:val="center"/>
            </w:pPr>
            <w:r>
              <w:t>0</w:t>
            </w:r>
          </w:p>
        </w:tc>
        <w:tc>
          <w:tcPr>
            <w:tcW w:w="1701" w:type="dxa"/>
            <w:tcBorders>
              <w:top w:val="single" w:sz="6" w:space="0" w:color="FFFFFF"/>
              <w:left w:val="single" w:sz="7" w:space="0" w:color="000000"/>
              <w:bottom w:val="single" w:sz="12" w:space="0" w:color="auto"/>
              <w:right w:val="single" w:sz="6" w:space="0" w:color="FFFFFF"/>
            </w:tcBorders>
          </w:tcPr>
          <w:p w14:paraId="5484EC73" w14:textId="77777777" w:rsidR="0058695D" w:rsidRDefault="0058695D" w:rsidP="009135A3">
            <w:pPr>
              <w:jc w:val="center"/>
            </w:pPr>
            <w:r>
              <w:noBreakHyphen/>
            </w:r>
          </w:p>
        </w:tc>
        <w:tc>
          <w:tcPr>
            <w:tcW w:w="1701" w:type="dxa"/>
            <w:tcBorders>
              <w:top w:val="single" w:sz="6" w:space="0" w:color="FFFFFF"/>
              <w:left w:val="single" w:sz="7" w:space="0" w:color="000000"/>
              <w:bottom w:val="single" w:sz="12" w:space="0" w:color="auto"/>
              <w:right w:val="single" w:sz="6" w:space="0" w:color="FFFFFF"/>
            </w:tcBorders>
          </w:tcPr>
          <w:p w14:paraId="0A6FED6B" w14:textId="77777777" w:rsidR="0058695D" w:rsidRDefault="0058695D" w:rsidP="009135A3">
            <w:pPr>
              <w:jc w:val="center"/>
            </w:pPr>
            <w:r>
              <w:t>85</w:t>
            </w:r>
          </w:p>
        </w:tc>
        <w:tc>
          <w:tcPr>
            <w:tcW w:w="1748" w:type="dxa"/>
            <w:tcBorders>
              <w:top w:val="single" w:sz="6" w:space="0" w:color="FFFFFF"/>
              <w:left w:val="single" w:sz="7" w:space="0" w:color="000000"/>
              <w:bottom w:val="single" w:sz="12" w:space="0" w:color="auto"/>
              <w:right w:val="single" w:sz="12" w:space="0" w:color="auto"/>
            </w:tcBorders>
          </w:tcPr>
          <w:p w14:paraId="02F3DC18" w14:textId="77777777" w:rsidR="0058695D" w:rsidRDefault="0058695D" w:rsidP="009135A3">
            <w:pPr>
              <w:jc w:val="center"/>
            </w:pPr>
            <w:r>
              <w:t>2</w:t>
            </w:r>
          </w:p>
        </w:tc>
      </w:tr>
    </w:tbl>
    <w:p w14:paraId="5AF1FEEA" w14:textId="77777777" w:rsidR="0058695D" w:rsidRDefault="00E2342F" w:rsidP="009135A3">
      <w:r>
        <w:rPr>
          <w:noProof/>
          <w:lang w:eastAsia="en-AU"/>
        </w:rPr>
        <w:pict w14:anchorId="77A85669">
          <v:shape id="_x0000_s1034" type="#_x0000_t202" style="position:absolute;margin-left:0;margin-top:779.65pt;width:481.9pt;height:36.85pt;z-index:-251657728;mso-wrap-distance-top:5.65pt;mso-position-horizontal:center;mso-position-horizontal-relative:page;mso-position-vertical-relative:page" stroked="f">
            <v:textbox style="mso-next-textbox:#_x0000_s1034" inset="0,,0">
              <w:txbxContent>
                <w:p w14:paraId="650FED64" w14:textId="77777777" w:rsidR="005A50BF" w:rsidRDefault="005A50BF" w:rsidP="009135A3">
                  <w:pPr>
                    <w:pBdr>
                      <w:top w:val="single" w:sz="6" w:space="1" w:color="000000"/>
                    </w:pBdr>
                    <w:spacing w:line="60" w:lineRule="exact"/>
                    <w:jc w:val="right"/>
                    <w:rPr>
                      <w:b/>
                    </w:rPr>
                  </w:pPr>
                </w:p>
                <w:p w14:paraId="2F130C9E" w14:textId="5631FA14" w:rsidR="005A50BF" w:rsidRDefault="005A50BF" w:rsidP="009135A3">
                  <w:pPr>
                    <w:pBdr>
                      <w:top w:val="single" w:sz="6" w:space="1" w:color="000000"/>
                    </w:pBdr>
                    <w:jc w:val="right"/>
                  </w:pPr>
                  <w:r>
                    <w:rPr>
                      <w:b/>
                    </w:rPr>
                    <w:t>©</w:t>
                  </w:r>
                  <w:r>
                    <w:t xml:space="preserve"> </w:t>
                  </w:r>
                  <w:r w:rsidR="00E2342F">
                    <w:t>Department of Transport</w:t>
                  </w:r>
                  <w:r>
                    <w:t xml:space="preserve">  July 1998</w:t>
                  </w:r>
                </w:p>
                <w:p w14:paraId="08D7C379" w14:textId="77777777" w:rsidR="005A50BF" w:rsidRDefault="005A50BF" w:rsidP="009135A3">
                  <w:pPr>
                    <w:jc w:val="right"/>
                  </w:pPr>
                  <w:r>
                    <w:t>Section 710 (Page 3 of 3)</w:t>
                  </w:r>
                </w:p>
                <w:p w14:paraId="5872A3AA" w14:textId="77777777" w:rsidR="005A50BF" w:rsidRDefault="005A50BF" w:rsidP="009135A3"/>
              </w:txbxContent>
            </v:textbox>
            <w10:wrap anchorx="page" anchory="page"/>
            <w10:anchorlock/>
          </v:shape>
        </w:pict>
      </w:r>
    </w:p>
    <w:sectPr w:rsidR="0058695D" w:rsidSect="00C12FC8">
      <w:headerReference w:type="default" r:id="rId7"/>
      <w:endnotePr>
        <w:numFmt w:val="decimal"/>
      </w:endnotePr>
      <w:pgSz w:w="11906" w:h="16838" w:code="9"/>
      <w:pgMar w:top="431" w:right="1134" w:bottom="431" w:left="1134" w:header="431" w:footer="4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7391B2" w14:textId="77777777" w:rsidR="00316245" w:rsidRDefault="00316245">
      <w:r>
        <w:separator/>
      </w:r>
    </w:p>
  </w:endnote>
  <w:endnote w:type="continuationSeparator" w:id="0">
    <w:p w14:paraId="70756F3B" w14:textId="77777777" w:rsidR="00316245" w:rsidRDefault="0031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07EA17" w14:textId="77777777" w:rsidR="00316245" w:rsidRDefault="00316245">
      <w:r>
        <w:separator/>
      </w:r>
    </w:p>
  </w:footnote>
  <w:footnote w:type="continuationSeparator" w:id="0">
    <w:p w14:paraId="5BA8CF38" w14:textId="77777777" w:rsidR="00316245" w:rsidRDefault="0031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BE9BA" w14:textId="5F63711E" w:rsidR="005A50BF" w:rsidRDefault="00E2342F">
    <w:pPr>
      <w:pBdr>
        <w:bottom w:val="single" w:sz="8" w:space="1" w:color="auto"/>
      </w:pBdr>
      <w:tabs>
        <w:tab w:val="right" w:pos="9602"/>
      </w:tabs>
      <w:jc w:val="right"/>
    </w:pPr>
    <w:r>
      <w:t>Department of Transport</w:t>
    </w:r>
  </w:p>
  <w:p w14:paraId="61626E84" w14:textId="77777777" w:rsidR="005A50BF" w:rsidRDefault="005A50BF">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1A71A4"/>
    <w:multiLevelType w:val="multilevel"/>
    <w:tmpl w:val="172693E8"/>
    <w:lvl w:ilvl="0">
      <w:start w:val="1"/>
      <w:numFmt w:val="none"/>
      <w:lvlText w:val="%1."/>
      <w:lvlJc w:val="left"/>
      <w:pPr>
        <w:tabs>
          <w:tab w:val="num" w:pos="0"/>
        </w:tabs>
        <w:ind w:left="1080" w:hanging="1080"/>
      </w:pPr>
      <w:rPr>
        <w:rFonts w:ascii="Times New Roman" w:hAnsi="Times New Roman" w:hint="default"/>
        <w:b w:val="0"/>
        <w:i w:val="0"/>
        <w:caps w:val="0"/>
        <w:strike w:val="0"/>
        <w:dstrike w:val="0"/>
        <w:outline w:val="0"/>
        <w:shadow w:val="0"/>
        <w:emboss w:val="0"/>
        <w:imprint w:val="0"/>
        <w:vanish w:val="0"/>
        <w:color w:val="auto"/>
        <w:spacing w:val="0"/>
        <w:w w:val="100"/>
        <w:position w:val="0"/>
        <w:sz w:val="20"/>
        <w:szCs w:val="20"/>
        <w:vertAlign w:val="baseline"/>
      </w:rPr>
    </w:lvl>
    <w:lvl w:ilvl="1">
      <w:start w:val="1"/>
      <w:numFmt w:val="none"/>
      <w:lvlText w:val="%1"/>
      <w:lvlJc w:val="left"/>
      <w:pPr>
        <w:tabs>
          <w:tab w:val="num" w:pos="0"/>
        </w:tabs>
        <w:ind w:left="0" w:firstLine="0"/>
      </w:pPr>
      <w:rPr>
        <w:rFonts w:hint="default"/>
      </w:rPr>
    </w:lvl>
    <w:lvl w:ilvl="2">
      <w:start w:val="1"/>
      <w:numFmt w:val="decimal"/>
      <w:pStyle w:val="Heading3"/>
      <w:lvlText w:val="%1%3."/>
      <w:lvlJc w:val="left"/>
      <w:pPr>
        <w:tabs>
          <w:tab w:val="num" w:pos="567"/>
        </w:tabs>
        <w:ind w:left="0" w:firstLine="0"/>
      </w:pPr>
      <w:rPr>
        <w:rFonts w:hint="default"/>
      </w:rPr>
    </w:lvl>
    <w:lvl w:ilvl="3">
      <w:start w:val="1"/>
      <w:numFmt w:val="decimal"/>
      <w:pStyle w:val="Heading4"/>
      <w:lvlText w:val="%3.%4"/>
      <w:lvlJc w:val="left"/>
      <w:pPr>
        <w:tabs>
          <w:tab w:val="num" w:pos="567"/>
        </w:tabs>
        <w:ind w:left="567" w:hanging="567"/>
      </w:pPr>
      <w:rPr>
        <w:rFonts w:hint="default"/>
      </w:rPr>
    </w:lvl>
    <w:lvl w:ilvl="4">
      <w:start w:val="1"/>
      <w:numFmt w:val="lowerLetter"/>
      <w:pStyle w:val="Heading5"/>
      <w:lvlText w:val="(%5%1)"/>
      <w:lvlJc w:val="left"/>
      <w:pPr>
        <w:tabs>
          <w:tab w:val="num" w:pos="1021"/>
        </w:tabs>
        <w:ind w:left="1021" w:hanging="454"/>
      </w:pPr>
      <w:rPr>
        <w:rFonts w:ascii="Times New (W1)" w:hAnsi="Times New (W1)" w:cs="Times New Roman" w:hint="default"/>
        <w:b w:val="0"/>
        <w:bCs w:val="0"/>
        <w:i w:val="0"/>
        <w:iCs w:val="0"/>
        <w:caps w:val="0"/>
        <w:strike w:val="0"/>
        <w:dstrike w:val="0"/>
        <w:outline w:val="0"/>
        <w:shadow w:val="0"/>
        <w:emboss w:val="0"/>
        <w:imprint w:val="0"/>
        <w:vanish w:val="0"/>
        <w:spacing w:val="0"/>
        <w:kern w:val="0"/>
        <w:position w:val="0"/>
        <w:u w:val="none"/>
        <w:vertAlign w:val="baseline"/>
        <w:em w:val="none"/>
      </w:rPr>
    </w:lvl>
    <w:lvl w:ilvl="5">
      <w:start w:val="1"/>
      <w:numFmt w:val="lowerRoman"/>
      <w:lvlRestart w:val="4"/>
      <w:pStyle w:val="Heading6"/>
      <w:lvlText w:val="%1(%6)"/>
      <w:lvlJc w:val="left"/>
      <w:pPr>
        <w:tabs>
          <w:tab w:val="num" w:pos="1588"/>
        </w:tabs>
        <w:ind w:left="1588" w:hanging="567"/>
      </w:pPr>
      <w:rPr>
        <w:rFonts w:hint="default"/>
      </w:rPr>
    </w:lvl>
    <w:lvl w:ilvl="6">
      <w:start w:val="1"/>
      <w:numFmt w:val="lowerRoman"/>
      <w:lvlText w:val="%1(%7)"/>
      <w:lvlJc w:val="left"/>
      <w:pPr>
        <w:tabs>
          <w:tab w:val="num" w:pos="1588"/>
        </w:tabs>
        <w:ind w:left="1588" w:hanging="567"/>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4F57"/>
    <w:rsid w:val="00100F17"/>
    <w:rsid w:val="0016566A"/>
    <w:rsid w:val="002A15A0"/>
    <w:rsid w:val="002D695B"/>
    <w:rsid w:val="002E09B6"/>
    <w:rsid w:val="00316245"/>
    <w:rsid w:val="00336B1F"/>
    <w:rsid w:val="003741E6"/>
    <w:rsid w:val="003F3EDA"/>
    <w:rsid w:val="004201B2"/>
    <w:rsid w:val="00430D04"/>
    <w:rsid w:val="00464296"/>
    <w:rsid w:val="004824E5"/>
    <w:rsid w:val="004E1328"/>
    <w:rsid w:val="00516583"/>
    <w:rsid w:val="005747B3"/>
    <w:rsid w:val="00580F79"/>
    <w:rsid w:val="0058695D"/>
    <w:rsid w:val="005A50BF"/>
    <w:rsid w:val="00602FD7"/>
    <w:rsid w:val="0064100A"/>
    <w:rsid w:val="00644F57"/>
    <w:rsid w:val="006A15E9"/>
    <w:rsid w:val="006F7481"/>
    <w:rsid w:val="00706EC1"/>
    <w:rsid w:val="0072156E"/>
    <w:rsid w:val="007A5F37"/>
    <w:rsid w:val="007B78CD"/>
    <w:rsid w:val="00815199"/>
    <w:rsid w:val="00843D43"/>
    <w:rsid w:val="0088394F"/>
    <w:rsid w:val="008B64C2"/>
    <w:rsid w:val="008D3F89"/>
    <w:rsid w:val="009135A3"/>
    <w:rsid w:val="00955380"/>
    <w:rsid w:val="00970773"/>
    <w:rsid w:val="00AE0E68"/>
    <w:rsid w:val="00B233AE"/>
    <w:rsid w:val="00B80A7D"/>
    <w:rsid w:val="00C12FC8"/>
    <w:rsid w:val="00C274AC"/>
    <w:rsid w:val="00C72D99"/>
    <w:rsid w:val="00C779FF"/>
    <w:rsid w:val="00C809DE"/>
    <w:rsid w:val="00D75BA9"/>
    <w:rsid w:val="00E13267"/>
    <w:rsid w:val="00E2342F"/>
    <w:rsid w:val="00EC0F0F"/>
    <w:rsid w:val="00F75945"/>
    <w:rsid w:val="00FA0D8E"/>
    <w:rsid w:val="00FE6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F315026"/>
  <w15:chartTrackingRefBased/>
  <w15:docId w15:val="{8F05EA8D-9BFF-4935-AB48-3F7540EC8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6B1F"/>
    <w:rPr>
      <w:rFonts w:ascii="Arial" w:hAnsi="Arial"/>
      <w:lang w:eastAsia="en-US"/>
    </w:rPr>
  </w:style>
  <w:style w:type="paragraph" w:styleId="Heading1">
    <w:name w:val="heading 1"/>
    <w:basedOn w:val="Normal"/>
    <w:next w:val="Normal"/>
    <w:qFormat/>
    <w:rsid w:val="006A15E9"/>
    <w:pPr>
      <w:keepNext/>
      <w:outlineLvl w:val="0"/>
    </w:pPr>
    <w:rPr>
      <w:rFonts w:cs="Arial"/>
      <w:b/>
      <w:bCs/>
      <w:sz w:val="28"/>
      <w:szCs w:val="32"/>
    </w:rPr>
  </w:style>
  <w:style w:type="paragraph" w:styleId="Heading2">
    <w:name w:val="heading 2"/>
    <w:basedOn w:val="Normal"/>
    <w:next w:val="Normal"/>
    <w:qFormat/>
    <w:rsid w:val="006A15E9"/>
    <w:pPr>
      <w:keepNext/>
      <w:outlineLvl w:val="1"/>
    </w:pPr>
    <w:rPr>
      <w:rFonts w:cs="Arial"/>
      <w:b/>
      <w:bCs/>
      <w:iCs/>
      <w:color w:val="000000"/>
      <w:sz w:val="28"/>
      <w:szCs w:val="28"/>
    </w:rPr>
  </w:style>
  <w:style w:type="paragraph" w:styleId="Heading3">
    <w:name w:val="heading 3"/>
    <w:basedOn w:val="Normal"/>
    <w:next w:val="Normal"/>
    <w:link w:val="Heading3Char"/>
    <w:qFormat/>
    <w:rsid w:val="006A15E9"/>
    <w:pPr>
      <w:keepNext/>
      <w:numPr>
        <w:ilvl w:val="2"/>
        <w:numId w:val="4"/>
      </w:numPr>
      <w:outlineLvl w:val="2"/>
    </w:pPr>
    <w:rPr>
      <w:rFonts w:cs="Arial"/>
      <w:b/>
      <w:bCs/>
      <w:szCs w:val="26"/>
    </w:rPr>
  </w:style>
  <w:style w:type="paragraph" w:styleId="Heading4">
    <w:name w:val="heading 4"/>
    <w:basedOn w:val="Normal"/>
    <w:next w:val="Normal"/>
    <w:link w:val="Heading4Char"/>
    <w:qFormat/>
    <w:rsid w:val="006A15E9"/>
    <w:pPr>
      <w:keepNext/>
      <w:numPr>
        <w:ilvl w:val="3"/>
        <w:numId w:val="4"/>
      </w:numPr>
      <w:spacing w:after="200"/>
      <w:outlineLvl w:val="3"/>
    </w:pPr>
    <w:rPr>
      <w:b/>
      <w:bCs/>
      <w:szCs w:val="28"/>
    </w:rPr>
  </w:style>
  <w:style w:type="paragraph" w:styleId="Heading5">
    <w:name w:val="heading 5"/>
    <w:basedOn w:val="Heading4"/>
    <w:next w:val="Normal"/>
    <w:qFormat/>
    <w:rsid w:val="006A15E9"/>
    <w:pPr>
      <w:numPr>
        <w:ilvl w:val="4"/>
      </w:numPr>
      <w:outlineLvl w:val="4"/>
    </w:pPr>
    <w:rPr>
      <w:b w:val="0"/>
      <w:bCs w:val="0"/>
      <w:szCs w:val="22"/>
    </w:rPr>
  </w:style>
  <w:style w:type="paragraph" w:styleId="Heading6">
    <w:name w:val="heading 6"/>
    <w:basedOn w:val="Normal"/>
    <w:next w:val="Normal"/>
    <w:link w:val="Heading6Char"/>
    <w:qFormat/>
    <w:rsid w:val="006A15E9"/>
    <w:pPr>
      <w:numPr>
        <w:ilvl w:val="5"/>
        <w:numId w:val="4"/>
      </w:numPr>
      <w:spacing w:after="200"/>
      <w:outlineLvl w:val="5"/>
    </w:pPr>
    <w:rPr>
      <w:bCs/>
      <w:szCs w:val="22"/>
    </w:rPr>
  </w:style>
  <w:style w:type="paragraph" w:styleId="Heading7">
    <w:name w:val="heading 7"/>
    <w:basedOn w:val="Normal"/>
    <w:next w:val="Normal"/>
    <w:qFormat/>
    <w:rsid w:val="006A15E9"/>
    <w:pPr>
      <w:tabs>
        <w:tab w:val="left" w:pos="567"/>
      </w:tabs>
      <w:outlineLvl w:val="6"/>
    </w:pPr>
    <w:rPr>
      <w:szCs w:val="24"/>
    </w:rPr>
  </w:style>
  <w:style w:type="paragraph" w:styleId="Heading8">
    <w:name w:val="heading 8"/>
    <w:basedOn w:val="Normal"/>
    <w:next w:val="Normal"/>
    <w:qFormat/>
    <w:rsid w:val="006A15E9"/>
    <w:pPr>
      <w:spacing w:before="240" w:after="60"/>
      <w:outlineLvl w:val="7"/>
    </w:pPr>
    <w:rPr>
      <w:i/>
      <w:iCs/>
      <w:sz w:val="24"/>
      <w:szCs w:val="24"/>
    </w:rPr>
  </w:style>
  <w:style w:type="paragraph" w:styleId="Heading9">
    <w:name w:val="heading 9"/>
    <w:basedOn w:val="Normal"/>
    <w:next w:val="Normal"/>
    <w:qFormat/>
    <w:rsid w:val="006A15E9"/>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DocumentMap">
    <w:name w:val="Document Map"/>
    <w:basedOn w:val="Normal"/>
    <w:rsid w:val="006A15E9"/>
    <w:pPr>
      <w:shd w:val="clear" w:color="auto" w:fill="000080"/>
    </w:pPr>
    <w:rPr>
      <w:rFonts w:ascii="Comic Sans MS" w:hAnsi="Comic Sans MS" w:cs="Tahoma"/>
    </w:rPr>
  </w:style>
  <w:style w:type="paragraph" w:customStyle="1" w:styleId="Heading2SS">
    <w:name w:val="Heading 2 + SS"/>
    <w:basedOn w:val="Heading2"/>
    <w:rsid w:val="00336B1F"/>
    <w:pPr>
      <w:keepNext w:val="0"/>
      <w:tabs>
        <w:tab w:val="left" w:pos="1985"/>
        <w:tab w:val="left" w:pos="2268"/>
      </w:tabs>
      <w:ind w:left="2268" w:hanging="2268"/>
    </w:pPr>
  </w:style>
  <w:style w:type="paragraph" w:customStyle="1" w:styleId="Heading3SS">
    <w:name w:val="Heading 3 + SS"/>
    <w:basedOn w:val="Heading3"/>
    <w:link w:val="Heading3SSChar"/>
    <w:rsid w:val="00336B1F"/>
    <w:pPr>
      <w:keepNext w:val="0"/>
      <w:numPr>
        <w:ilvl w:val="0"/>
        <w:numId w:val="0"/>
      </w:numPr>
      <w:tabs>
        <w:tab w:val="left" w:pos="851"/>
      </w:tabs>
      <w:ind w:left="851" w:hanging="851"/>
    </w:pPr>
  </w:style>
  <w:style w:type="character" w:customStyle="1" w:styleId="Heading3Char">
    <w:name w:val="Heading 3 Char"/>
    <w:link w:val="Heading3"/>
    <w:rsid w:val="006A15E9"/>
    <w:rPr>
      <w:rFonts w:cs="Arial"/>
      <w:b/>
      <w:bCs/>
      <w:szCs w:val="26"/>
      <w:lang w:val="en-AU" w:eastAsia="en-US" w:bidi="ar-SA"/>
    </w:rPr>
  </w:style>
  <w:style w:type="character" w:customStyle="1" w:styleId="Heading3SSChar">
    <w:name w:val="Heading 3 + SS Char"/>
    <w:link w:val="Heading3SS"/>
    <w:rsid w:val="00336B1F"/>
    <w:rPr>
      <w:rFonts w:ascii="Arial" w:hAnsi="Arial" w:cs="Arial"/>
      <w:b/>
      <w:bCs/>
      <w:szCs w:val="26"/>
      <w:lang w:val="en-AU" w:eastAsia="en-US" w:bidi="ar-SA"/>
    </w:rPr>
  </w:style>
  <w:style w:type="character" w:customStyle="1" w:styleId="Heading4Char">
    <w:name w:val="Heading 4 Char"/>
    <w:link w:val="Heading4"/>
    <w:rsid w:val="006A15E9"/>
    <w:rPr>
      <w:b/>
      <w:bCs/>
      <w:szCs w:val="28"/>
      <w:lang w:val="en-AU" w:eastAsia="en-US" w:bidi="ar-SA"/>
    </w:rPr>
  </w:style>
  <w:style w:type="paragraph" w:customStyle="1" w:styleId="Heading5SS">
    <w:name w:val="Heading 5 +SS"/>
    <w:basedOn w:val="Heading5"/>
    <w:rsid w:val="0088394F"/>
    <w:pPr>
      <w:keepNext w:val="0"/>
      <w:numPr>
        <w:ilvl w:val="0"/>
        <w:numId w:val="0"/>
      </w:numPr>
      <w:tabs>
        <w:tab w:val="left" w:pos="454"/>
      </w:tabs>
      <w:spacing w:after="0"/>
      <w:ind w:left="454" w:hanging="454"/>
      <w:outlineLvl w:val="9"/>
    </w:pPr>
  </w:style>
  <w:style w:type="character" w:customStyle="1" w:styleId="Heading6Char">
    <w:name w:val="Heading 6 Char"/>
    <w:link w:val="Heading6"/>
    <w:rsid w:val="006A15E9"/>
    <w:rPr>
      <w:bCs/>
      <w:szCs w:val="22"/>
      <w:lang w:val="en-AU" w:eastAsia="en-US" w:bidi="ar-SA"/>
    </w:rPr>
  </w:style>
  <w:style w:type="paragraph" w:styleId="Footer">
    <w:name w:val="footer"/>
    <w:basedOn w:val="Normal"/>
    <w:link w:val="FooterChar"/>
    <w:rsid w:val="00E2342F"/>
    <w:pPr>
      <w:tabs>
        <w:tab w:val="center" w:pos="4513"/>
        <w:tab w:val="right" w:pos="9026"/>
      </w:tabs>
    </w:pPr>
  </w:style>
  <w:style w:type="character" w:customStyle="1" w:styleId="FooterChar">
    <w:name w:val="Footer Char"/>
    <w:basedOn w:val="DefaultParagraphFont"/>
    <w:link w:val="Footer"/>
    <w:rsid w:val="00E2342F"/>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710</vt:lpstr>
    </vt:vector>
  </TitlesOfParts>
  <Company>VicRoads</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710</dc:title>
  <dc:subject>Fixing Raised Pavement Markers</dc:subject>
  <dc:creator>VicRoads</dc:creator>
  <cp:keywords/>
  <dc:description/>
  <cp:lastModifiedBy>Robyn Robb</cp:lastModifiedBy>
  <cp:revision>3</cp:revision>
  <dcterms:created xsi:type="dcterms:W3CDTF">2019-12-10T01:35:00Z</dcterms:created>
  <dcterms:modified xsi:type="dcterms:W3CDTF">2021-03-11T01:25:00Z</dcterms:modified>
</cp:coreProperties>
</file>