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13808" w14:textId="77777777" w:rsidR="003A48AE" w:rsidRPr="00AA7E2E" w:rsidRDefault="00C934C6" w:rsidP="00581CB4">
      <w:pPr>
        <w:pStyle w:val="Heading2SS"/>
      </w:pPr>
      <w:r>
        <w:t>SECTION 418</w:t>
      </w:r>
      <w:r w:rsidR="00037EAD">
        <w:tab/>
      </w:r>
      <w:r w:rsidR="003A48AE">
        <w:t>-</w:t>
      </w:r>
      <w:r w:rsidR="00037EAD">
        <w:tab/>
      </w:r>
      <w:r>
        <w:t>HIGH MODULUS ASPHALT (EME2)</w:t>
      </w:r>
      <w:r w:rsidR="003A48AE" w:rsidRPr="006D5CCD">
        <w:rPr>
          <w:b w:val="0"/>
          <w:sz w:val="20"/>
          <w:szCs w:val="20"/>
        </w:rPr>
        <w:fldChar w:fldCharType="begin"/>
      </w:r>
      <w:r w:rsidR="003A48AE" w:rsidRPr="006D5CCD">
        <w:rPr>
          <w:b w:val="0"/>
          <w:sz w:val="20"/>
          <w:szCs w:val="20"/>
        </w:rPr>
        <w:instrText>tc \l1 "SECTION </w:instrText>
      </w:r>
      <w:r>
        <w:rPr>
          <w:b w:val="0"/>
          <w:sz w:val="20"/>
          <w:szCs w:val="20"/>
        </w:rPr>
        <w:instrText>418</w:instrText>
      </w:r>
      <w:r w:rsidR="006D5CCD" w:rsidRPr="006D5CCD">
        <w:rPr>
          <w:b w:val="0"/>
          <w:sz w:val="20"/>
          <w:szCs w:val="20"/>
        </w:rPr>
        <w:instrText xml:space="preserve">  </w:instrText>
      </w:r>
      <w:r w:rsidR="003A48AE" w:rsidRPr="006D5CCD">
        <w:rPr>
          <w:b w:val="0"/>
          <w:sz w:val="20"/>
          <w:szCs w:val="20"/>
        </w:rPr>
        <w:noBreakHyphen/>
      </w:r>
      <w:r w:rsidR="006D5CCD" w:rsidRPr="006D5CCD">
        <w:rPr>
          <w:b w:val="0"/>
          <w:sz w:val="20"/>
          <w:szCs w:val="20"/>
        </w:rPr>
        <w:instrText xml:space="preserve">  </w:instrText>
      </w:r>
      <w:r>
        <w:rPr>
          <w:b w:val="0"/>
          <w:sz w:val="20"/>
          <w:szCs w:val="20"/>
        </w:rPr>
        <w:instrText>HIGH MODULUS ASPHALT (EME2)</w:instrText>
      </w:r>
      <w:r w:rsidR="003A48AE" w:rsidRPr="006D5CCD">
        <w:rPr>
          <w:b w:val="0"/>
          <w:sz w:val="20"/>
          <w:szCs w:val="20"/>
        </w:rPr>
        <w:fldChar w:fldCharType="end"/>
      </w:r>
    </w:p>
    <w:p w14:paraId="081F4CFF" w14:textId="77777777" w:rsidR="003A48AE" w:rsidRDefault="003A48AE" w:rsidP="00F4443F">
      <w:pPr>
        <w:rPr>
          <w:lang w:val="en-AU"/>
        </w:rPr>
      </w:pPr>
    </w:p>
    <w:p w14:paraId="33D98E0E" w14:textId="17BAFC4F" w:rsidR="000F120F" w:rsidRPr="00C61F10" w:rsidRDefault="000F120F" w:rsidP="00CA4068">
      <w:pPr>
        <w:rPr>
          <w:rFonts w:cs="Arial"/>
        </w:rPr>
      </w:pPr>
      <w:r w:rsidRPr="00226FD8">
        <w:rPr>
          <w:rFonts w:cs="Arial"/>
        </w:rPr>
        <w:t>##This section cross-references Section</w:t>
      </w:r>
      <w:r w:rsidR="00CF1BDA">
        <w:rPr>
          <w:rFonts w:cs="Arial"/>
        </w:rPr>
        <w:t>s</w:t>
      </w:r>
      <w:r w:rsidRPr="00226FD8">
        <w:rPr>
          <w:rFonts w:cs="Arial"/>
        </w:rPr>
        <w:t xml:space="preserve"> 407 and </w:t>
      </w:r>
      <w:r w:rsidR="00CF1BDA">
        <w:rPr>
          <w:rFonts w:cs="Arial"/>
        </w:rPr>
        <w:t xml:space="preserve">175 and </w:t>
      </w:r>
      <w:r w:rsidRPr="00226FD8">
        <w:rPr>
          <w:rFonts w:cs="Arial"/>
        </w:rPr>
        <w:t>must be included in the contract documents.</w:t>
      </w:r>
    </w:p>
    <w:p w14:paraId="3C2B8A80" w14:textId="77777777" w:rsidR="000F120F" w:rsidRPr="00C61F10" w:rsidRDefault="000F120F" w:rsidP="00BB1263">
      <w:pPr>
        <w:rPr>
          <w:rFonts w:cs="Arial"/>
        </w:rPr>
      </w:pPr>
    </w:p>
    <w:p w14:paraId="6D6D1B0D" w14:textId="77777777" w:rsidR="000F120F" w:rsidRPr="00C61F10" w:rsidRDefault="000F120F" w:rsidP="00CA4068">
      <w:pPr>
        <w:pStyle w:val="Heading3SS"/>
      </w:pPr>
      <w:r w:rsidRPr="00226FD8">
        <w:t>418</w:t>
      </w:r>
      <w:bookmarkStart w:id="0" w:name="np418"/>
      <w:bookmarkEnd w:id="0"/>
      <w:r w:rsidRPr="00226FD8">
        <w:t>.01</w:t>
      </w:r>
      <w:r w:rsidRPr="00226FD8">
        <w:tab/>
        <w:t>GENERAL</w:t>
      </w:r>
    </w:p>
    <w:p w14:paraId="0DB3B7AA" w14:textId="3442A5C3" w:rsidR="000F120F" w:rsidRPr="00C61F10" w:rsidRDefault="00A64B64" w:rsidP="00BB1263">
      <w:pPr>
        <w:spacing w:before="200"/>
        <w:rPr>
          <w:rFonts w:cs="Arial"/>
        </w:rPr>
      </w:pPr>
      <w:r>
        <w:rPr>
          <w:rFonts w:cs="Arial"/>
        </w:rPr>
        <w:t>S</w:t>
      </w:r>
      <w:r w:rsidR="000F120F" w:rsidRPr="00226FD8">
        <w:rPr>
          <w:rFonts w:cs="Arial"/>
        </w:rPr>
        <w:t xml:space="preserve">ection </w:t>
      </w:r>
      <w:r>
        <w:rPr>
          <w:rFonts w:cs="Arial"/>
        </w:rPr>
        <w:t xml:space="preserve">418 </w:t>
      </w:r>
      <w:r w:rsidR="000F120F" w:rsidRPr="00226FD8">
        <w:rPr>
          <w:rFonts w:cs="Arial"/>
        </w:rPr>
        <w:t xml:space="preserve">shall be read in conjunction with Section 407 </w:t>
      </w:r>
      <w:r w:rsidR="00CF1BDA">
        <w:rPr>
          <w:rFonts w:cs="Arial"/>
        </w:rPr>
        <w:t>–</w:t>
      </w:r>
      <w:r w:rsidR="000F120F" w:rsidRPr="00226FD8">
        <w:rPr>
          <w:rFonts w:cs="Arial"/>
        </w:rPr>
        <w:t xml:space="preserve"> </w:t>
      </w:r>
      <w:r w:rsidR="00CF1BDA">
        <w:rPr>
          <w:rFonts w:cs="Arial"/>
        </w:rPr>
        <w:t xml:space="preserve">Dense Graded </w:t>
      </w:r>
      <w:r w:rsidR="000F120F" w:rsidRPr="00226FD8">
        <w:rPr>
          <w:rFonts w:cs="Arial"/>
        </w:rPr>
        <w:t xml:space="preserve">Asphalt and covers the requirements for Size 14 mm </w:t>
      </w:r>
      <w:r w:rsidR="00A247BF">
        <w:rPr>
          <w:rFonts w:cs="Arial"/>
        </w:rPr>
        <w:t>H</w:t>
      </w:r>
      <w:r w:rsidR="000F120F" w:rsidRPr="00226FD8">
        <w:rPr>
          <w:rFonts w:cs="Arial"/>
        </w:rPr>
        <w:t xml:space="preserve">igh </w:t>
      </w:r>
      <w:r w:rsidR="00A247BF">
        <w:rPr>
          <w:rFonts w:cs="Arial"/>
        </w:rPr>
        <w:t>M</w:t>
      </w:r>
      <w:r w:rsidR="000F120F" w:rsidRPr="00226FD8">
        <w:rPr>
          <w:rFonts w:cs="Arial"/>
        </w:rPr>
        <w:t xml:space="preserve">odulus </w:t>
      </w:r>
      <w:r w:rsidR="00A247BF">
        <w:rPr>
          <w:rFonts w:cs="Arial"/>
        </w:rPr>
        <w:t>A</w:t>
      </w:r>
      <w:r w:rsidR="000F120F" w:rsidRPr="00226FD8">
        <w:rPr>
          <w:rFonts w:cs="Arial"/>
        </w:rPr>
        <w:t>sphalt (EME2) that are in addition to or override the requirements of Section 407.</w:t>
      </w:r>
    </w:p>
    <w:p w14:paraId="4299A4A3" w14:textId="77777777" w:rsidR="000F120F" w:rsidRPr="00C61F10" w:rsidRDefault="000F120F" w:rsidP="00CA4068">
      <w:pPr>
        <w:rPr>
          <w:rFonts w:cs="Arial"/>
        </w:rPr>
      </w:pPr>
    </w:p>
    <w:p w14:paraId="1B4DDDAE" w14:textId="757665F1" w:rsidR="000F120F" w:rsidRDefault="000F120F" w:rsidP="00CA4068">
      <w:pPr>
        <w:rPr>
          <w:rFonts w:cs="Arial"/>
        </w:rPr>
      </w:pPr>
    </w:p>
    <w:p w14:paraId="2E136C05" w14:textId="063E3D87" w:rsidR="00061A39" w:rsidRPr="00C61F10" w:rsidRDefault="00061A39" w:rsidP="00061A39">
      <w:pPr>
        <w:pStyle w:val="Heading3SS"/>
      </w:pPr>
      <w:r w:rsidRPr="00226FD8">
        <w:t>418.02</w:t>
      </w:r>
      <w:r w:rsidRPr="00226FD8">
        <w:tab/>
        <w:t>S</w:t>
      </w:r>
      <w:r>
        <w:t>TANDARDS</w:t>
      </w:r>
    </w:p>
    <w:p w14:paraId="0DA55287" w14:textId="77777777" w:rsidR="00F7096D" w:rsidRDefault="00F7096D" w:rsidP="00F7096D">
      <w:pPr>
        <w:rPr>
          <w:rFonts w:cs="Arial"/>
        </w:rPr>
      </w:pPr>
    </w:p>
    <w:p w14:paraId="4575CC62" w14:textId="54C5B819" w:rsidR="00F7096D" w:rsidRDefault="00F7096D" w:rsidP="00F7096D">
      <w:pPr>
        <w:rPr>
          <w:rFonts w:cs="Arial"/>
        </w:rPr>
      </w:pPr>
      <w:r w:rsidRPr="00F7096D">
        <w:rPr>
          <w:rFonts w:cs="Arial"/>
        </w:rPr>
        <w:t xml:space="preserve">Documents referred to in </w:t>
      </w:r>
      <w:r w:rsidR="00CA6112">
        <w:rPr>
          <w:rFonts w:cs="Arial"/>
        </w:rPr>
        <w:t>S</w:t>
      </w:r>
      <w:r w:rsidRPr="00F7096D">
        <w:rPr>
          <w:rFonts w:cs="Arial"/>
        </w:rPr>
        <w:t xml:space="preserve">ection </w:t>
      </w:r>
      <w:r w:rsidR="00CA6112">
        <w:rPr>
          <w:rFonts w:cs="Arial"/>
        </w:rPr>
        <w:t xml:space="preserve">418 </w:t>
      </w:r>
      <w:r w:rsidRPr="00F7096D">
        <w:rPr>
          <w:rFonts w:cs="Arial"/>
        </w:rPr>
        <w:t>are listed in Table 4</w:t>
      </w:r>
      <w:r>
        <w:rPr>
          <w:rFonts w:cs="Arial"/>
        </w:rPr>
        <w:t>18</w:t>
      </w:r>
      <w:r w:rsidRPr="00F7096D">
        <w:rPr>
          <w:rFonts w:cs="Arial"/>
        </w:rPr>
        <w:t>.021.</w:t>
      </w:r>
    </w:p>
    <w:p w14:paraId="344D1622" w14:textId="6E99DFB2" w:rsidR="00CA6112" w:rsidRDefault="00CA6112" w:rsidP="00F7096D">
      <w:pPr>
        <w:rPr>
          <w:rFonts w:cs="Arial"/>
        </w:rPr>
      </w:pPr>
    </w:p>
    <w:p w14:paraId="2027A4EE" w14:textId="6A2735B5" w:rsidR="00CA6112" w:rsidRPr="00F7096D" w:rsidRDefault="00CA6112" w:rsidP="00F7096D">
      <w:pPr>
        <w:rPr>
          <w:rFonts w:cs="Arial"/>
        </w:rPr>
      </w:pPr>
      <w:r w:rsidRPr="00CA6112">
        <w:rPr>
          <w:rFonts w:cs="Arial"/>
        </w:rPr>
        <w:t>Any reference made to ‘VicRoads’ or ‘Department of Transport’ are taken to mean Department of Transport and Planning.</w:t>
      </w:r>
    </w:p>
    <w:p w14:paraId="52EF0557" w14:textId="77777777" w:rsidR="00F7096D" w:rsidRPr="00F7096D" w:rsidRDefault="00F7096D" w:rsidP="00F7096D">
      <w:pPr>
        <w:rPr>
          <w:rFonts w:cs="Arial"/>
        </w:rPr>
      </w:pPr>
    </w:p>
    <w:p w14:paraId="16C9FEAE" w14:textId="7B65F696" w:rsidR="00F7096D" w:rsidRPr="00B84D10" w:rsidRDefault="00F7096D" w:rsidP="00CA4068">
      <w:pPr>
        <w:rPr>
          <w:rFonts w:cs="Arial"/>
          <w:b/>
          <w:bCs/>
        </w:rPr>
      </w:pPr>
      <w:r w:rsidRPr="00B84D10">
        <w:rPr>
          <w:rFonts w:cs="Arial"/>
          <w:b/>
          <w:bCs/>
        </w:rPr>
        <w:t>Table 4</w:t>
      </w:r>
      <w:r>
        <w:rPr>
          <w:rFonts w:cs="Arial"/>
          <w:b/>
          <w:bCs/>
        </w:rPr>
        <w:t>18</w:t>
      </w:r>
      <w:r w:rsidRPr="00B84D10">
        <w:rPr>
          <w:rFonts w:cs="Arial"/>
          <w:b/>
          <w:bCs/>
        </w:rPr>
        <w:t>.021:  Referenced Documents</w:t>
      </w:r>
    </w:p>
    <w:tbl>
      <w:tblPr>
        <w:tblStyle w:val="TableGrid"/>
        <w:tblW w:w="9625"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91"/>
        <w:gridCol w:w="7534"/>
      </w:tblGrid>
      <w:tr w:rsidR="00061A39" w:rsidRPr="00774B50" w14:paraId="200D70AA" w14:textId="77777777" w:rsidTr="00B84D10">
        <w:tc>
          <w:tcPr>
            <w:tcW w:w="962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93136BA" w14:textId="77777777" w:rsidR="00061A39" w:rsidRPr="00774B50" w:rsidRDefault="00061A39" w:rsidP="007646C9">
            <w:pPr>
              <w:pStyle w:val="TableHeadingLeft"/>
            </w:pPr>
            <w:bookmarkStart w:id="1" w:name="_Hlk57131731"/>
            <w:r w:rsidRPr="00774B50">
              <w:t>Australian Standards</w:t>
            </w:r>
          </w:p>
        </w:tc>
      </w:tr>
      <w:bookmarkEnd w:id="1"/>
      <w:tr w:rsidR="00061A39" w:rsidRPr="00774B50" w14:paraId="63697B02" w14:textId="77777777" w:rsidTr="00B84D10">
        <w:tc>
          <w:tcPr>
            <w:tcW w:w="2091" w:type="dxa"/>
            <w:tcBorders>
              <w:top w:val="single" w:sz="6" w:space="0" w:color="auto"/>
              <w:left w:val="single" w:sz="12" w:space="0" w:color="auto"/>
              <w:bottom w:val="single" w:sz="6" w:space="0" w:color="auto"/>
              <w:right w:val="single" w:sz="6" w:space="0" w:color="auto"/>
            </w:tcBorders>
            <w:shd w:val="clear" w:color="auto" w:fill="auto"/>
          </w:tcPr>
          <w:p w14:paraId="473350F8" w14:textId="77777777" w:rsidR="00061A39" w:rsidRPr="00B84D10" w:rsidRDefault="00061A39" w:rsidP="007646C9">
            <w:pPr>
              <w:pStyle w:val="TableFigureLeft"/>
              <w:rPr>
                <w:szCs w:val="18"/>
              </w:rPr>
            </w:pPr>
            <w:r w:rsidRPr="00B84D10">
              <w:rPr>
                <w:szCs w:val="18"/>
              </w:rPr>
              <w:t>AS 1141.17</w:t>
            </w:r>
          </w:p>
        </w:tc>
        <w:tc>
          <w:tcPr>
            <w:tcW w:w="7534" w:type="dxa"/>
            <w:tcBorders>
              <w:top w:val="single" w:sz="6" w:space="0" w:color="auto"/>
              <w:left w:val="single" w:sz="6" w:space="0" w:color="auto"/>
              <w:bottom w:val="single" w:sz="6" w:space="0" w:color="auto"/>
              <w:right w:val="single" w:sz="12" w:space="0" w:color="auto"/>
            </w:tcBorders>
            <w:shd w:val="clear" w:color="auto" w:fill="auto"/>
            <w:vAlign w:val="center"/>
          </w:tcPr>
          <w:p w14:paraId="16B61C54" w14:textId="77777777" w:rsidR="00061A39" w:rsidRPr="00B84D10" w:rsidRDefault="00061A39" w:rsidP="007646C9">
            <w:pPr>
              <w:pStyle w:val="TableFigureLeft"/>
              <w:rPr>
                <w:szCs w:val="18"/>
              </w:rPr>
            </w:pPr>
            <w:r w:rsidRPr="00B84D10">
              <w:rPr>
                <w:szCs w:val="18"/>
              </w:rPr>
              <w:t>Methods for sampling and testing aggregates Voids in dry compacted filler</w:t>
            </w:r>
          </w:p>
        </w:tc>
      </w:tr>
      <w:tr w:rsidR="00061A39" w:rsidRPr="00774B50" w14:paraId="7E7BCC8C" w14:textId="77777777" w:rsidTr="00B84D10">
        <w:tc>
          <w:tcPr>
            <w:tcW w:w="2091" w:type="dxa"/>
            <w:tcBorders>
              <w:top w:val="single" w:sz="6" w:space="0" w:color="auto"/>
              <w:left w:val="single" w:sz="12" w:space="0" w:color="auto"/>
              <w:bottom w:val="single" w:sz="6" w:space="0" w:color="auto"/>
              <w:right w:val="single" w:sz="6" w:space="0" w:color="auto"/>
            </w:tcBorders>
            <w:shd w:val="clear" w:color="auto" w:fill="auto"/>
          </w:tcPr>
          <w:p w14:paraId="390BC51F" w14:textId="2BFBF223" w:rsidR="00061A39" w:rsidRPr="00102C48" w:rsidRDefault="003B6358" w:rsidP="007646C9">
            <w:pPr>
              <w:pStyle w:val="TableFigureLeft"/>
            </w:pPr>
            <w:r w:rsidRPr="00B84D10">
              <w:rPr>
                <w:szCs w:val="18"/>
                <w:lang w:val="en-US"/>
              </w:rPr>
              <w:t>AS/NZS 2341.2</w:t>
            </w:r>
          </w:p>
        </w:tc>
        <w:tc>
          <w:tcPr>
            <w:tcW w:w="7534" w:type="dxa"/>
            <w:tcBorders>
              <w:top w:val="single" w:sz="6" w:space="0" w:color="auto"/>
              <w:left w:val="single" w:sz="6" w:space="0" w:color="auto"/>
              <w:bottom w:val="single" w:sz="6" w:space="0" w:color="auto"/>
              <w:right w:val="single" w:sz="12" w:space="0" w:color="auto"/>
            </w:tcBorders>
            <w:shd w:val="clear" w:color="auto" w:fill="auto"/>
            <w:vAlign w:val="center"/>
          </w:tcPr>
          <w:p w14:paraId="13960CF5" w14:textId="77777777" w:rsidR="00061A39" w:rsidRPr="00102C48" w:rsidRDefault="00061A39" w:rsidP="007646C9">
            <w:pPr>
              <w:pStyle w:val="TableFigureLeft"/>
            </w:pPr>
            <w:r w:rsidRPr="00B84D10">
              <w:rPr>
                <w:szCs w:val="18"/>
              </w:rPr>
              <w:t>Determination of dynamic viscosity by vacuum capillary viscometer</w:t>
            </w:r>
          </w:p>
        </w:tc>
      </w:tr>
      <w:tr w:rsidR="003B6358" w:rsidRPr="00774B50" w14:paraId="047FE707" w14:textId="77777777" w:rsidTr="00640863">
        <w:tc>
          <w:tcPr>
            <w:tcW w:w="2091" w:type="dxa"/>
            <w:tcBorders>
              <w:top w:val="single" w:sz="6" w:space="0" w:color="auto"/>
              <w:left w:val="single" w:sz="12" w:space="0" w:color="auto"/>
              <w:bottom w:val="single" w:sz="6" w:space="0" w:color="auto"/>
              <w:right w:val="single" w:sz="6" w:space="0" w:color="auto"/>
            </w:tcBorders>
            <w:shd w:val="clear" w:color="auto" w:fill="auto"/>
          </w:tcPr>
          <w:p w14:paraId="5D1F1599" w14:textId="3C4FC5DD" w:rsidR="003B6358" w:rsidRPr="00B84D10" w:rsidRDefault="003B6358" w:rsidP="007646C9">
            <w:pPr>
              <w:pStyle w:val="TableFigureLeft"/>
              <w:rPr>
                <w:szCs w:val="18"/>
              </w:rPr>
            </w:pPr>
            <w:r w:rsidRPr="00B84D10">
              <w:rPr>
                <w:szCs w:val="18"/>
                <w:lang w:val="en-US"/>
              </w:rPr>
              <w:t>AS 2341.3</w:t>
            </w:r>
          </w:p>
        </w:tc>
        <w:tc>
          <w:tcPr>
            <w:tcW w:w="7534" w:type="dxa"/>
            <w:tcBorders>
              <w:top w:val="single" w:sz="6" w:space="0" w:color="auto"/>
              <w:left w:val="single" w:sz="6" w:space="0" w:color="auto"/>
              <w:bottom w:val="single" w:sz="6" w:space="0" w:color="auto"/>
              <w:right w:val="single" w:sz="12" w:space="0" w:color="auto"/>
            </w:tcBorders>
            <w:shd w:val="clear" w:color="auto" w:fill="auto"/>
            <w:vAlign w:val="center"/>
          </w:tcPr>
          <w:p w14:paraId="0C8C7C0E" w14:textId="23478FE0" w:rsidR="003B6358" w:rsidRPr="00B84D10" w:rsidRDefault="003B6358" w:rsidP="007646C9">
            <w:pPr>
              <w:pStyle w:val="TableFigureLeft"/>
              <w:rPr>
                <w:szCs w:val="18"/>
              </w:rPr>
            </w:pPr>
            <w:r w:rsidRPr="00B84D10">
              <w:rPr>
                <w:szCs w:val="18"/>
                <w:lang w:val="en-US"/>
              </w:rPr>
              <w:t>Determination of kinematic viscosity by flow through a capillary tube</w:t>
            </w:r>
          </w:p>
        </w:tc>
      </w:tr>
      <w:tr w:rsidR="003B6358" w:rsidRPr="00774B50" w14:paraId="4D0EC99D" w14:textId="77777777" w:rsidTr="00640863">
        <w:tc>
          <w:tcPr>
            <w:tcW w:w="2091" w:type="dxa"/>
            <w:tcBorders>
              <w:top w:val="single" w:sz="6" w:space="0" w:color="auto"/>
              <w:left w:val="single" w:sz="12" w:space="0" w:color="auto"/>
              <w:bottom w:val="single" w:sz="6" w:space="0" w:color="auto"/>
              <w:right w:val="single" w:sz="6" w:space="0" w:color="auto"/>
            </w:tcBorders>
            <w:shd w:val="clear" w:color="auto" w:fill="auto"/>
          </w:tcPr>
          <w:p w14:paraId="5A35F421" w14:textId="02AD06A5" w:rsidR="003B6358" w:rsidRPr="00B84D10" w:rsidRDefault="003B6358" w:rsidP="007646C9">
            <w:pPr>
              <w:pStyle w:val="TableFigureLeft"/>
              <w:rPr>
                <w:szCs w:val="18"/>
              </w:rPr>
            </w:pPr>
            <w:r w:rsidRPr="00B84D10">
              <w:rPr>
                <w:szCs w:val="18"/>
                <w:lang w:val="en-US"/>
              </w:rPr>
              <w:t>AS 2341.4</w:t>
            </w:r>
          </w:p>
        </w:tc>
        <w:tc>
          <w:tcPr>
            <w:tcW w:w="7534" w:type="dxa"/>
            <w:tcBorders>
              <w:top w:val="single" w:sz="6" w:space="0" w:color="auto"/>
              <w:left w:val="single" w:sz="6" w:space="0" w:color="auto"/>
              <w:bottom w:val="single" w:sz="6" w:space="0" w:color="auto"/>
              <w:right w:val="single" w:sz="12" w:space="0" w:color="auto"/>
            </w:tcBorders>
            <w:shd w:val="clear" w:color="auto" w:fill="auto"/>
            <w:vAlign w:val="center"/>
          </w:tcPr>
          <w:p w14:paraId="62E38268" w14:textId="5751B940" w:rsidR="003B6358" w:rsidRPr="00B84D10" w:rsidRDefault="003B6358" w:rsidP="007646C9">
            <w:pPr>
              <w:pStyle w:val="TableFigureLeft"/>
              <w:rPr>
                <w:szCs w:val="18"/>
              </w:rPr>
            </w:pPr>
            <w:r w:rsidRPr="00B84D10">
              <w:rPr>
                <w:szCs w:val="18"/>
                <w:lang w:val="en-US"/>
              </w:rPr>
              <w:t>Determination of dynamic viscosity by rotational viscometer</w:t>
            </w:r>
          </w:p>
        </w:tc>
      </w:tr>
      <w:tr w:rsidR="009E66CF" w:rsidRPr="00774B50" w14:paraId="09DF7DC1" w14:textId="77777777" w:rsidTr="00640863">
        <w:tc>
          <w:tcPr>
            <w:tcW w:w="2091" w:type="dxa"/>
            <w:tcBorders>
              <w:top w:val="single" w:sz="6" w:space="0" w:color="auto"/>
              <w:left w:val="single" w:sz="12" w:space="0" w:color="auto"/>
              <w:bottom w:val="single" w:sz="6" w:space="0" w:color="auto"/>
              <w:right w:val="single" w:sz="6" w:space="0" w:color="auto"/>
            </w:tcBorders>
            <w:shd w:val="clear" w:color="auto" w:fill="auto"/>
          </w:tcPr>
          <w:p w14:paraId="65C0F99E" w14:textId="2FF0689C" w:rsidR="009E66CF" w:rsidRPr="00B84D10" w:rsidRDefault="009E66CF" w:rsidP="007646C9">
            <w:pPr>
              <w:pStyle w:val="TableFigureLeft"/>
              <w:rPr>
                <w:szCs w:val="18"/>
              </w:rPr>
            </w:pPr>
            <w:r w:rsidRPr="00B84D10">
              <w:rPr>
                <w:szCs w:val="18"/>
                <w:lang w:val="en-US"/>
              </w:rPr>
              <w:t>AS/NZS 2341.8</w:t>
            </w:r>
          </w:p>
        </w:tc>
        <w:tc>
          <w:tcPr>
            <w:tcW w:w="7534" w:type="dxa"/>
            <w:tcBorders>
              <w:top w:val="single" w:sz="6" w:space="0" w:color="auto"/>
              <w:left w:val="single" w:sz="6" w:space="0" w:color="auto"/>
              <w:bottom w:val="single" w:sz="6" w:space="0" w:color="auto"/>
              <w:right w:val="single" w:sz="12" w:space="0" w:color="auto"/>
            </w:tcBorders>
            <w:shd w:val="clear" w:color="auto" w:fill="auto"/>
            <w:vAlign w:val="center"/>
          </w:tcPr>
          <w:p w14:paraId="37351125" w14:textId="2458EA29" w:rsidR="009E66CF" w:rsidRPr="00B84D10" w:rsidRDefault="009E66CF" w:rsidP="007646C9">
            <w:pPr>
              <w:pStyle w:val="TableFigureLeft"/>
              <w:rPr>
                <w:szCs w:val="18"/>
              </w:rPr>
            </w:pPr>
            <w:r w:rsidRPr="00B84D10">
              <w:rPr>
                <w:szCs w:val="18"/>
              </w:rPr>
              <w:t>Determination of matter insoluble in toluene</w:t>
            </w:r>
          </w:p>
        </w:tc>
      </w:tr>
      <w:tr w:rsidR="009E66CF" w:rsidRPr="00774B50" w14:paraId="425A4041" w14:textId="77777777" w:rsidTr="00B84D10">
        <w:tc>
          <w:tcPr>
            <w:tcW w:w="2091" w:type="dxa"/>
            <w:tcBorders>
              <w:top w:val="single" w:sz="6" w:space="0" w:color="auto"/>
              <w:left w:val="single" w:sz="12" w:space="0" w:color="auto"/>
              <w:bottom w:val="single" w:sz="6" w:space="0" w:color="auto"/>
              <w:right w:val="single" w:sz="6" w:space="0" w:color="auto"/>
            </w:tcBorders>
            <w:shd w:val="clear" w:color="auto" w:fill="auto"/>
          </w:tcPr>
          <w:p w14:paraId="2804A358" w14:textId="5D888192" w:rsidR="009E66CF" w:rsidRPr="00102C48" w:rsidRDefault="009E66CF" w:rsidP="009E66CF">
            <w:pPr>
              <w:pStyle w:val="TableFigureLeft"/>
              <w:rPr>
                <w:szCs w:val="18"/>
                <w:lang w:val="en-US"/>
              </w:rPr>
            </w:pPr>
            <w:r w:rsidRPr="00102C48">
              <w:t>AS/NZS 2341.10</w:t>
            </w:r>
          </w:p>
        </w:tc>
        <w:tc>
          <w:tcPr>
            <w:tcW w:w="7534" w:type="dxa"/>
            <w:tcBorders>
              <w:top w:val="single" w:sz="6" w:space="0" w:color="auto"/>
              <w:left w:val="single" w:sz="6" w:space="0" w:color="auto"/>
              <w:bottom w:val="single" w:sz="6" w:space="0" w:color="auto"/>
              <w:right w:val="single" w:sz="12" w:space="0" w:color="auto"/>
            </w:tcBorders>
            <w:shd w:val="clear" w:color="auto" w:fill="auto"/>
          </w:tcPr>
          <w:p w14:paraId="54FB28D4" w14:textId="31ACC778" w:rsidR="009E66CF" w:rsidRPr="00102C48" w:rsidRDefault="009E66CF" w:rsidP="009E66CF">
            <w:pPr>
              <w:pStyle w:val="TableFigureLeft"/>
              <w:rPr>
                <w:szCs w:val="18"/>
              </w:rPr>
            </w:pPr>
            <w:r w:rsidRPr="00102C48">
              <w:rPr>
                <w:szCs w:val="18"/>
              </w:rPr>
              <w:t>Determination of the effect of heat and air on a moving film of bitumen (rolling thin film oven (RTFO) test)</w:t>
            </w:r>
          </w:p>
        </w:tc>
      </w:tr>
      <w:tr w:rsidR="009E66CF" w:rsidRPr="00774B50" w14:paraId="7F198837" w14:textId="77777777" w:rsidTr="00640863">
        <w:tc>
          <w:tcPr>
            <w:tcW w:w="2091" w:type="dxa"/>
            <w:tcBorders>
              <w:top w:val="single" w:sz="6" w:space="0" w:color="auto"/>
              <w:left w:val="single" w:sz="12" w:space="0" w:color="auto"/>
              <w:bottom w:val="single" w:sz="6" w:space="0" w:color="auto"/>
              <w:right w:val="single" w:sz="6" w:space="0" w:color="auto"/>
            </w:tcBorders>
            <w:shd w:val="clear" w:color="auto" w:fill="auto"/>
          </w:tcPr>
          <w:p w14:paraId="5E86AE8E" w14:textId="176061D5" w:rsidR="009E66CF" w:rsidRPr="00102C48" w:rsidRDefault="009E66CF" w:rsidP="007646C9">
            <w:pPr>
              <w:pStyle w:val="TableFigureLeft"/>
              <w:rPr>
                <w:szCs w:val="18"/>
                <w:lang w:val="en-US"/>
              </w:rPr>
            </w:pPr>
            <w:r w:rsidRPr="00102C48">
              <w:rPr>
                <w:szCs w:val="18"/>
                <w:lang w:val="en-US"/>
              </w:rPr>
              <w:t>AS 2341.12</w:t>
            </w:r>
          </w:p>
        </w:tc>
        <w:tc>
          <w:tcPr>
            <w:tcW w:w="7534" w:type="dxa"/>
            <w:tcBorders>
              <w:top w:val="single" w:sz="6" w:space="0" w:color="auto"/>
              <w:left w:val="single" w:sz="6" w:space="0" w:color="auto"/>
              <w:bottom w:val="single" w:sz="6" w:space="0" w:color="auto"/>
              <w:right w:val="single" w:sz="12" w:space="0" w:color="auto"/>
            </w:tcBorders>
            <w:shd w:val="clear" w:color="auto" w:fill="auto"/>
            <w:vAlign w:val="center"/>
          </w:tcPr>
          <w:p w14:paraId="6FE353FA" w14:textId="66FAE9DF" w:rsidR="009E66CF" w:rsidRPr="00102C48" w:rsidRDefault="009E66CF" w:rsidP="007646C9">
            <w:pPr>
              <w:pStyle w:val="TableFigureLeft"/>
              <w:rPr>
                <w:szCs w:val="18"/>
              </w:rPr>
            </w:pPr>
            <w:r w:rsidRPr="00102C48">
              <w:rPr>
                <w:szCs w:val="18"/>
                <w:lang w:val="en-US"/>
              </w:rPr>
              <w:t>Determination of penetration</w:t>
            </w:r>
          </w:p>
        </w:tc>
      </w:tr>
      <w:tr w:rsidR="009E66CF" w:rsidRPr="00774B50" w14:paraId="5F17003C" w14:textId="77777777" w:rsidTr="00640863">
        <w:tc>
          <w:tcPr>
            <w:tcW w:w="2091" w:type="dxa"/>
            <w:tcBorders>
              <w:top w:val="single" w:sz="6" w:space="0" w:color="auto"/>
              <w:left w:val="single" w:sz="12" w:space="0" w:color="auto"/>
              <w:bottom w:val="single" w:sz="6" w:space="0" w:color="auto"/>
              <w:right w:val="single" w:sz="6" w:space="0" w:color="auto"/>
            </w:tcBorders>
            <w:shd w:val="clear" w:color="auto" w:fill="auto"/>
          </w:tcPr>
          <w:p w14:paraId="4F6D5117" w14:textId="6865C652" w:rsidR="009E66CF" w:rsidRPr="00102C48" w:rsidRDefault="009E66CF" w:rsidP="009E66CF">
            <w:pPr>
              <w:pStyle w:val="TableFigureLeft"/>
              <w:rPr>
                <w:szCs w:val="18"/>
                <w:lang w:val="en-US"/>
              </w:rPr>
            </w:pPr>
            <w:r w:rsidRPr="00B84D10">
              <w:rPr>
                <w:szCs w:val="18"/>
                <w:lang w:val="en-US"/>
              </w:rPr>
              <w:t>AS 2341.18</w:t>
            </w:r>
          </w:p>
        </w:tc>
        <w:tc>
          <w:tcPr>
            <w:tcW w:w="7534" w:type="dxa"/>
            <w:tcBorders>
              <w:top w:val="single" w:sz="6" w:space="0" w:color="auto"/>
              <w:left w:val="single" w:sz="6" w:space="0" w:color="auto"/>
              <w:bottom w:val="single" w:sz="6" w:space="0" w:color="auto"/>
              <w:right w:val="single" w:sz="12" w:space="0" w:color="auto"/>
            </w:tcBorders>
            <w:shd w:val="clear" w:color="auto" w:fill="auto"/>
            <w:vAlign w:val="center"/>
          </w:tcPr>
          <w:p w14:paraId="2FCCCE67" w14:textId="237619DF" w:rsidR="009E66CF" w:rsidRPr="00102C48" w:rsidRDefault="009E66CF" w:rsidP="009E66CF">
            <w:pPr>
              <w:pStyle w:val="TableFigureLeft"/>
              <w:rPr>
                <w:szCs w:val="18"/>
              </w:rPr>
            </w:pPr>
            <w:r w:rsidRPr="00B84D10">
              <w:rPr>
                <w:szCs w:val="18"/>
                <w:lang w:val="en-US"/>
              </w:rPr>
              <w:t>Determination of softening point (ring and ball method)</w:t>
            </w:r>
          </w:p>
        </w:tc>
      </w:tr>
      <w:tr w:rsidR="009E66CF" w:rsidRPr="00774B50" w14:paraId="47DDA6A9" w14:textId="77777777" w:rsidTr="00640863">
        <w:tc>
          <w:tcPr>
            <w:tcW w:w="2091" w:type="dxa"/>
            <w:tcBorders>
              <w:top w:val="single" w:sz="6" w:space="0" w:color="auto"/>
              <w:left w:val="single" w:sz="12" w:space="0" w:color="auto"/>
              <w:bottom w:val="single" w:sz="6" w:space="0" w:color="auto"/>
              <w:right w:val="single" w:sz="6" w:space="0" w:color="auto"/>
            </w:tcBorders>
            <w:shd w:val="clear" w:color="auto" w:fill="auto"/>
          </w:tcPr>
          <w:p w14:paraId="35430060" w14:textId="172BF9B4" w:rsidR="009E66CF" w:rsidRPr="00B84D10" w:rsidRDefault="003B6358" w:rsidP="009E66CF">
            <w:pPr>
              <w:pStyle w:val="TableFigureLeft"/>
              <w:rPr>
                <w:szCs w:val="18"/>
              </w:rPr>
            </w:pPr>
            <w:r w:rsidRPr="00B84D10">
              <w:rPr>
                <w:szCs w:val="18"/>
              </w:rPr>
              <w:t>AS/NZS 2891.2.2</w:t>
            </w:r>
          </w:p>
        </w:tc>
        <w:tc>
          <w:tcPr>
            <w:tcW w:w="7534" w:type="dxa"/>
            <w:tcBorders>
              <w:top w:val="single" w:sz="6" w:space="0" w:color="auto"/>
              <w:left w:val="single" w:sz="6" w:space="0" w:color="auto"/>
              <w:bottom w:val="single" w:sz="6" w:space="0" w:color="auto"/>
              <w:right w:val="single" w:sz="12" w:space="0" w:color="auto"/>
            </w:tcBorders>
            <w:shd w:val="clear" w:color="auto" w:fill="auto"/>
            <w:vAlign w:val="center"/>
          </w:tcPr>
          <w:p w14:paraId="66723EBC" w14:textId="7F3AA8F3" w:rsidR="009E66CF" w:rsidRPr="00B84D10" w:rsidRDefault="003B6358" w:rsidP="009E66CF">
            <w:pPr>
              <w:pStyle w:val="TableFigureLeft"/>
              <w:rPr>
                <w:szCs w:val="18"/>
              </w:rPr>
            </w:pPr>
            <w:r w:rsidRPr="00B84D10">
              <w:rPr>
                <w:szCs w:val="18"/>
                <w:lang w:val="en-US"/>
              </w:rPr>
              <w:t>Sample preparation - Compaction of asphalt test specimens using a gyratory compactor</w:t>
            </w:r>
          </w:p>
        </w:tc>
      </w:tr>
      <w:tr w:rsidR="00D71789" w:rsidRPr="00774B50" w14:paraId="260850CF" w14:textId="77777777" w:rsidTr="00906071">
        <w:tc>
          <w:tcPr>
            <w:tcW w:w="2091" w:type="dxa"/>
            <w:tcBorders>
              <w:top w:val="single" w:sz="6" w:space="0" w:color="auto"/>
              <w:left w:val="single" w:sz="12" w:space="0" w:color="auto"/>
              <w:bottom w:val="single" w:sz="6" w:space="0" w:color="auto"/>
              <w:right w:val="single" w:sz="6" w:space="0" w:color="auto"/>
            </w:tcBorders>
            <w:shd w:val="clear" w:color="auto" w:fill="auto"/>
            <w:vAlign w:val="center"/>
          </w:tcPr>
          <w:p w14:paraId="0633A763" w14:textId="03CDF3CA" w:rsidR="00D71789" w:rsidRPr="00B84D10" w:rsidRDefault="00D71789" w:rsidP="003B6358">
            <w:pPr>
              <w:pStyle w:val="TableFigureLeft"/>
              <w:rPr>
                <w:szCs w:val="18"/>
              </w:rPr>
            </w:pPr>
            <w:r w:rsidRPr="00B84D10">
              <w:rPr>
                <w:szCs w:val="18"/>
                <w:lang w:val="en-US"/>
              </w:rPr>
              <w:t>AS/NZS 2891.8 </w:t>
            </w:r>
          </w:p>
        </w:tc>
        <w:tc>
          <w:tcPr>
            <w:tcW w:w="7534" w:type="dxa"/>
            <w:tcBorders>
              <w:top w:val="single" w:sz="6" w:space="0" w:color="auto"/>
              <w:left w:val="single" w:sz="6" w:space="0" w:color="auto"/>
              <w:bottom w:val="single" w:sz="6" w:space="0" w:color="auto"/>
              <w:right w:val="single" w:sz="12" w:space="0" w:color="auto"/>
            </w:tcBorders>
            <w:shd w:val="clear" w:color="auto" w:fill="auto"/>
            <w:vAlign w:val="center"/>
          </w:tcPr>
          <w:p w14:paraId="06A93FFC" w14:textId="03999A2C" w:rsidR="00D71789" w:rsidRPr="00B84D10" w:rsidRDefault="00D71789" w:rsidP="003B6358">
            <w:pPr>
              <w:pStyle w:val="TableFigureLeft"/>
              <w:rPr>
                <w:szCs w:val="18"/>
              </w:rPr>
            </w:pPr>
            <w:r w:rsidRPr="00B84D10">
              <w:rPr>
                <w:szCs w:val="18"/>
                <w:lang w:val="en-US"/>
              </w:rPr>
              <w:t>Voids and volumetric properties of compacted asphalt mixes</w:t>
            </w:r>
          </w:p>
        </w:tc>
      </w:tr>
      <w:tr w:rsidR="002034CB" w:rsidRPr="00774B50" w14:paraId="03DB0ACE" w14:textId="77777777" w:rsidTr="00906071">
        <w:tc>
          <w:tcPr>
            <w:tcW w:w="2091" w:type="dxa"/>
            <w:tcBorders>
              <w:top w:val="single" w:sz="6" w:space="0" w:color="auto"/>
              <w:left w:val="single" w:sz="12" w:space="0" w:color="auto"/>
              <w:bottom w:val="single" w:sz="6" w:space="0" w:color="auto"/>
              <w:right w:val="single" w:sz="6" w:space="0" w:color="auto"/>
            </w:tcBorders>
            <w:shd w:val="clear" w:color="auto" w:fill="auto"/>
            <w:vAlign w:val="center"/>
          </w:tcPr>
          <w:p w14:paraId="2A2BA8F5" w14:textId="2C0B29D6" w:rsidR="002034CB" w:rsidRPr="00B84D10" w:rsidRDefault="007F3460" w:rsidP="003B6358">
            <w:pPr>
              <w:pStyle w:val="TableFigureLeft"/>
              <w:rPr>
                <w:szCs w:val="18"/>
              </w:rPr>
            </w:pPr>
            <w:r w:rsidRPr="00B84D10">
              <w:rPr>
                <w:szCs w:val="18"/>
                <w:lang w:val="en-US"/>
              </w:rPr>
              <w:t>AS/NZS 2891.9.2</w:t>
            </w:r>
          </w:p>
        </w:tc>
        <w:tc>
          <w:tcPr>
            <w:tcW w:w="7534" w:type="dxa"/>
            <w:tcBorders>
              <w:top w:val="single" w:sz="6" w:space="0" w:color="auto"/>
              <w:left w:val="single" w:sz="6" w:space="0" w:color="auto"/>
              <w:bottom w:val="single" w:sz="6" w:space="0" w:color="auto"/>
              <w:right w:val="single" w:sz="12" w:space="0" w:color="auto"/>
            </w:tcBorders>
            <w:shd w:val="clear" w:color="auto" w:fill="auto"/>
            <w:vAlign w:val="center"/>
          </w:tcPr>
          <w:p w14:paraId="67FD84C3" w14:textId="5D434F29" w:rsidR="002034CB" w:rsidRPr="00B84D10" w:rsidRDefault="002034CB" w:rsidP="003B6358">
            <w:pPr>
              <w:pStyle w:val="TableFigureLeft"/>
              <w:rPr>
                <w:szCs w:val="18"/>
              </w:rPr>
            </w:pPr>
            <w:r w:rsidRPr="00B84D10">
              <w:rPr>
                <w:szCs w:val="18"/>
                <w:lang w:val="en-US"/>
              </w:rPr>
              <w:t xml:space="preserve">Determination of bulk density of compacted asphalt - </w:t>
            </w:r>
            <w:proofErr w:type="spellStart"/>
            <w:r w:rsidRPr="00B84D10">
              <w:rPr>
                <w:szCs w:val="18"/>
                <w:lang w:val="en-US"/>
              </w:rPr>
              <w:t>Presaturation</w:t>
            </w:r>
            <w:proofErr w:type="spellEnd"/>
            <w:r w:rsidRPr="00B84D10">
              <w:rPr>
                <w:szCs w:val="18"/>
                <w:lang w:val="en-US"/>
              </w:rPr>
              <w:t xml:space="preserve"> method</w:t>
            </w:r>
          </w:p>
        </w:tc>
      </w:tr>
      <w:tr w:rsidR="002034CB" w:rsidRPr="00774B50" w14:paraId="7191DD73" w14:textId="77777777" w:rsidTr="00906071">
        <w:tc>
          <w:tcPr>
            <w:tcW w:w="2091" w:type="dxa"/>
            <w:tcBorders>
              <w:top w:val="single" w:sz="6" w:space="0" w:color="auto"/>
              <w:left w:val="single" w:sz="12" w:space="0" w:color="auto"/>
              <w:bottom w:val="single" w:sz="6" w:space="0" w:color="auto"/>
              <w:right w:val="single" w:sz="6" w:space="0" w:color="auto"/>
            </w:tcBorders>
            <w:shd w:val="clear" w:color="auto" w:fill="auto"/>
            <w:vAlign w:val="center"/>
          </w:tcPr>
          <w:p w14:paraId="0E12D0C8" w14:textId="6929C4B0" w:rsidR="002034CB" w:rsidRPr="00B84D10" w:rsidRDefault="002034CB" w:rsidP="003B6358">
            <w:pPr>
              <w:pStyle w:val="TableFigureLeft"/>
              <w:rPr>
                <w:szCs w:val="18"/>
              </w:rPr>
            </w:pPr>
            <w:r w:rsidRPr="00B84D10">
              <w:rPr>
                <w:szCs w:val="18"/>
                <w:lang w:val="en-US"/>
              </w:rPr>
              <w:t>AS/NZS 2891.9.3</w:t>
            </w:r>
          </w:p>
        </w:tc>
        <w:tc>
          <w:tcPr>
            <w:tcW w:w="7534" w:type="dxa"/>
            <w:tcBorders>
              <w:top w:val="single" w:sz="6" w:space="0" w:color="auto"/>
              <w:left w:val="single" w:sz="6" w:space="0" w:color="auto"/>
              <w:bottom w:val="single" w:sz="6" w:space="0" w:color="auto"/>
              <w:right w:val="single" w:sz="12" w:space="0" w:color="auto"/>
            </w:tcBorders>
            <w:shd w:val="clear" w:color="auto" w:fill="auto"/>
            <w:vAlign w:val="center"/>
          </w:tcPr>
          <w:p w14:paraId="02E04A5F" w14:textId="1389412B" w:rsidR="002034CB" w:rsidRPr="00B84D10" w:rsidRDefault="002034CB" w:rsidP="003B6358">
            <w:pPr>
              <w:pStyle w:val="TableFigureLeft"/>
              <w:rPr>
                <w:szCs w:val="18"/>
              </w:rPr>
            </w:pPr>
            <w:r w:rsidRPr="00B84D10">
              <w:rPr>
                <w:szCs w:val="18"/>
                <w:lang w:val="en-US"/>
              </w:rPr>
              <w:t>Determination of bulk density of compacted asphalt - Mensuration method</w:t>
            </w:r>
          </w:p>
        </w:tc>
      </w:tr>
      <w:tr w:rsidR="003B6358" w:rsidRPr="00774B50" w14:paraId="4D1EE161" w14:textId="77777777" w:rsidTr="00B84D10">
        <w:tc>
          <w:tcPr>
            <w:tcW w:w="2091" w:type="dxa"/>
            <w:tcBorders>
              <w:top w:val="single" w:sz="6" w:space="0" w:color="auto"/>
              <w:left w:val="single" w:sz="12" w:space="0" w:color="auto"/>
              <w:bottom w:val="single" w:sz="6" w:space="0" w:color="auto"/>
              <w:right w:val="single" w:sz="6" w:space="0" w:color="auto"/>
            </w:tcBorders>
            <w:shd w:val="clear" w:color="auto" w:fill="auto"/>
          </w:tcPr>
          <w:p w14:paraId="0F4CC5C0" w14:textId="774D21DD" w:rsidR="003B6358" w:rsidRPr="00B84D10" w:rsidRDefault="003B6358" w:rsidP="003B6358">
            <w:pPr>
              <w:pStyle w:val="TableFigureLeft"/>
              <w:rPr>
                <w:szCs w:val="18"/>
              </w:rPr>
            </w:pPr>
            <w:r w:rsidRPr="00B84D10">
              <w:rPr>
                <w:szCs w:val="18"/>
              </w:rPr>
              <w:t>AS/NZS 2891.11</w:t>
            </w:r>
          </w:p>
        </w:tc>
        <w:tc>
          <w:tcPr>
            <w:tcW w:w="7534" w:type="dxa"/>
            <w:tcBorders>
              <w:top w:val="single" w:sz="6" w:space="0" w:color="auto"/>
              <w:left w:val="single" w:sz="6" w:space="0" w:color="auto"/>
              <w:bottom w:val="single" w:sz="6" w:space="0" w:color="auto"/>
              <w:right w:val="single" w:sz="12" w:space="0" w:color="auto"/>
            </w:tcBorders>
            <w:shd w:val="clear" w:color="auto" w:fill="auto"/>
            <w:vAlign w:val="center"/>
          </w:tcPr>
          <w:p w14:paraId="0F4B0C2D" w14:textId="65190FB9" w:rsidR="003B6358" w:rsidRPr="00B84D10" w:rsidRDefault="003B6358" w:rsidP="003B6358">
            <w:pPr>
              <w:pStyle w:val="TableFigureLeft"/>
              <w:rPr>
                <w:szCs w:val="18"/>
              </w:rPr>
            </w:pPr>
            <w:r w:rsidRPr="00B84D10">
              <w:rPr>
                <w:szCs w:val="18"/>
              </w:rPr>
              <w:t>Methods of sampling and testing asphalt Degree of particle coating</w:t>
            </w:r>
          </w:p>
        </w:tc>
      </w:tr>
      <w:tr w:rsidR="002034CB" w:rsidRPr="00774B50" w14:paraId="7019D2D6" w14:textId="77777777" w:rsidTr="005C42FC">
        <w:tc>
          <w:tcPr>
            <w:tcW w:w="2091" w:type="dxa"/>
            <w:tcBorders>
              <w:top w:val="single" w:sz="6" w:space="0" w:color="auto"/>
              <w:left w:val="single" w:sz="12" w:space="0" w:color="auto"/>
              <w:bottom w:val="single" w:sz="6" w:space="0" w:color="auto"/>
              <w:right w:val="single" w:sz="6" w:space="0" w:color="auto"/>
            </w:tcBorders>
            <w:shd w:val="clear" w:color="auto" w:fill="auto"/>
          </w:tcPr>
          <w:p w14:paraId="6CE333C0" w14:textId="76499801" w:rsidR="002034CB" w:rsidRPr="00B84D10" w:rsidRDefault="002034CB" w:rsidP="003B6358">
            <w:pPr>
              <w:pStyle w:val="TableFigureLeft"/>
              <w:rPr>
                <w:szCs w:val="18"/>
              </w:rPr>
            </w:pPr>
            <w:r w:rsidRPr="00B84D10">
              <w:rPr>
                <w:szCs w:val="18"/>
                <w:lang w:val="en-US"/>
              </w:rPr>
              <w:t>AS/NZS 2891.13.1</w:t>
            </w:r>
          </w:p>
        </w:tc>
        <w:tc>
          <w:tcPr>
            <w:tcW w:w="7534" w:type="dxa"/>
            <w:tcBorders>
              <w:top w:val="single" w:sz="6" w:space="0" w:color="auto"/>
              <w:left w:val="single" w:sz="6" w:space="0" w:color="auto"/>
              <w:bottom w:val="single" w:sz="6" w:space="0" w:color="auto"/>
              <w:right w:val="single" w:sz="12" w:space="0" w:color="auto"/>
            </w:tcBorders>
            <w:shd w:val="clear" w:color="auto" w:fill="auto"/>
            <w:vAlign w:val="center"/>
          </w:tcPr>
          <w:p w14:paraId="63452E9B" w14:textId="6D8CB3AC" w:rsidR="002034CB" w:rsidRPr="00B84D10" w:rsidRDefault="002034CB" w:rsidP="003B6358">
            <w:pPr>
              <w:pStyle w:val="TableFigureLeft"/>
              <w:rPr>
                <w:szCs w:val="18"/>
              </w:rPr>
            </w:pPr>
            <w:r w:rsidRPr="00B84D10">
              <w:rPr>
                <w:szCs w:val="18"/>
                <w:lang w:val="en-US"/>
              </w:rPr>
              <w:t>Determination of the resilient modulus of asphalt - Indirect tensile method</w:t>
            </w:r>
          </w:p>
        </w:tc>
      </w:tr>
      <w:tr w:rsidR="003B6358" w:rsidRPr="00774B50" w14:paraId="5FA545E0" w14:textId="77777777" w:rsidTr="00B84D10">
        <w:tc>
          <w:tcPr>
            <w:tcW w:w="9625" w:type="dxa"/>
            <w:gridSpan w:val="2"/>
            <w:tcBorders>
              <w:top w:val="single" w:sz="12" w:space="0" w:color="auto"/>
              <w:left w:val="single" w:sz="12" w:space="0" w:color="auto"/>
              <w:bottom w:val="single" w:sz="12" w:space="0" w:color="auto"/>
              <w:right w:val="single" w:sz="12" w:space="0" w:color="auto"/>
            </w:tcBorders>
            <w:shd w:val="clear" w:color="auto" w:fill="D9D9D9"/>
          </w:tcPr>
          <w:p w14:paraId="1B09BD06" w14:textId="77777777" w:rsidR="003B6358" w:rsidRPr="00774B50" w:rsidRDefault="003B6358" w:rsidP="003B6358">
            <w:pPr>
              <w:pStyle w:val="TableHeadingLeft"/>
            </w:pPr>
            <w:r w:rsidRPr="00774B50">
              <w:t>Austroads</w:t>
            </w:r>
          </w:p>
        </w:tc>
      </w:tr>
      <w:tr w:rsidR="003B6358" w:rsidRPr="00774B50" w14:paraId="666C91AF" w14:textId="77777777" w:rsidTr="00640863">
        <w:tc>
          <w:tcPr>
            <w:tcW w:w="2091" w:type="dxa"/>
            <w:tcBorders>
              <w:top w:val="single" w:sz="6" w:space="0" w:color="auto"/>
              <w:left w:val="single" w:sz="12" w:space="0" w:color="auto"/>
              <w:bottom w:val="single" w:sz="6" w:space="0" w:color="auto"/>
              <w:right w:val="single" w:sz="6" w:space="0" w:color="auto"/>
            </w:tcBorders>
            <w:shd w:val="clear" w:color="auto" w:fill="auto"/>
            <w:vAlign w:val="center"/>
          </w:tcPr>
          <w:p w14:paraId="6AB1CC51" w14:textId="2ACCE366" w:rsidR="003B6358" w:rsidRPr="00B84D10" w:rsidRDefault="003B6358" w:rsidP="003B6358">
            <w:pPr>
              <w:pStyle w:val="TableFigureLeft"/>
              <w:rPr>
                <w:szCs w:val="18"/>
              </w:rPr>
            </w:pPr>
            <w:r w:rsidRPr="00B84D10">
              <w:rPr>
                <w:szCs w:val="18"/>
                <w:lang w:val="en-US"/>
              </w:rPr>
              <w:t>AP-T219</w:t>
            </w:r>
          </w:p>
        </w:tc>
        <w:tc>
          <w:tcPr>
            <w:tcW w:w="7534" w:type="dxa"/>
            <w:tcBorders>
              <w:top w:val="single" w:sz="6" w:space="0" w:color="auto"/>
              <w:left w:val="single" w:sz="6" w:space="0" w:color="auto"/>
              <w:bottom w:val="single" w:sz="6" w:space="0" w:color="auto"/>
              <w:right w:val="single" w:sz="12" w:space="0" w:color="auto"/>
            </w:tcBorders>
            <w:shd w:val="clear" w:color="auto" w:fill="auto"/>
            <w:vAlign w:val="center"/>
          </w:tcPr>
          <w:p w14:paraId="41F81C90" w14:textId="3531930B" w:rsidR="003B6358" w:rsidRPr="00B84D10" w:rsidRDefault="003B6358" w:rsidP="003B6358">
            <w:pPr>
              <w:pStyle w:val="TableFigureLeft"/>
              <w:rPr>
                <w:szCs w:val="18"/>
              </w:rPr>
            </w:pPr>
            <w:r w:rsidRPr="00B84D10">
              <w:rPr>
                <w:szCs w:val="18"/>
                <w:lang w:val="en-US"/>
              </w:rPr>
              <w:t>Mastic performance assessment in stone mastic asphalt</w:t>
            </w:r>
          </w:p>
        </w:tc>
      </w:tr>
      <w:tr w:rsidR="002034CB" w:rsidRPr="00774B50" w14:paraId="544EB80A" w14:textId="77777777" w:rsidTr="00640863">
        <w:tc>
          <w:tcPr>
            <w:tcW w:w="2091" w:type="dxa"/>
            <w:tcBorders>
              <w:top w:val="single" w:sz="6" w:space="0" w:color="auto"/>
              <w:left w:val="single" w:sz="12" w:space="0" w:color="auto"/>
              <w:bottom w:val="single" w:sz="6" w:space="0" w:color="auto"/>
              <w:right w:val="single" w:sz="6" w:space="0" w:color="auto"/>
            </w:tcBorders>
            <w:shd w:val="clear" w:color="auto" w:fill="auto"/>
            <w:vAlign w:val="center"/>
          </w:tcPr>
          <w:p w14:paraId="1776A0FB" w14:textId="0DEEC2A3" w:rsidR="002034CB" w:rsidRPr="00B84D10" w:rsidRDefault="002034CB" w:rsidP="003B6358">
            <w:pPr>
              <w:pStyle w:val="TableFigureLeft"/>
              <w:rPr>
                <w:szCs w:val="18"/>
                <w:lang w:val="en-US"/>
              </w:rPr>
            </w:pPr>
            <w:r w:rsidRPr="00B84D10">
              <w:rPr>
                <w:szCs w:val="18"/>
                <w:lang w:val="en-US"/>
              </w:rPr>
              <w:t>AGPT/T231</w:t>
            </w:r>
          </w:p>
        </w:tc>
        <w:tc>
          <w:tcPr>
            <w:tcW w:w="7534" w:type="dxa"/>
            <w:tcBorders>
              <w:top w:val="single" w:sz="6" w:space="0" w:color="auto"/>
              <w:left w:val="single" w:sz="6" w:space="0" w:color="auto"/>
              <w:bottom w:val="single" w:sz="6" w:space="0" w:color="auto"/>
              <w:right w:val="single" w:sz="12" w:space="0" w:color="auto"/>
            </w:tcBorders>
            <w:shd w:val="clear" w:color="auto" w:fill="auto"/>
            <w:vAlign w:val="center"/>
          </w:tcPr>
          <w:p w14:paraId="3D0A6EF0" w14:textId="301C73C5" w:rsidR="002034CB" w:rsidRPr="00B84D10" w:rsidRDefault="002034CB" w:rsidP="003B6358">
            <w:pPr>
              <w:pStyle w:val="TableFigureLeft"/>
              <w:rPr>
                <w:szCs w:val="18"/>
                <w:lang w:val="en-US"/>
              </w:rPr>
            </w:pPr>
            <w:r w:rsidRPr="00B84D10">
              <w:rPr>
                <w:szCs w:val="18"/>
                <w:lang w:val="en-US"/>
              </w:rPr>
              <w:t>Deformation resistance of asphalt mixtures by the wheel tracking test</w:t>
            </w:r>
          </w:p>
        </w:tc>
      </w:tr>
      <w:tr w:rsidR="002034CB" w:rsidRPr="00774B50" w14:paraId="5C383FA8" w14:textId="77777777" w:rsidTr="00640863">
        <w:tc>
          <w:tcPr>
            <w:tcW w:w="2091" w:type="dxa"/>
            <w:tcBorders>
              <w:top w:val="single" w:sz="6" w:space="0" w:color="auto"/>
              <w:left w:val="single" w:sz="12" w:space="0" w:color="auto"/>
              <w:bottom w:val="single" w:sz="6" w:space="0" w:color="auto"/>
              <w:right w:val="single" w:sz="6" w:space="0" w:color="auto"/>
            </w:tcBorders>
            <w:shd w:val="clear" w:color="auto" w:fill="auto"/>
            <w:vAlign w:val="center"/>
          </w:tcPr>
          <w:p w14:paraId="1193F684" w14:textId="0378593D" w:rsidR="002034CB" w:rsidRPr="00B84D10" w:rsidRDefault="002034CB" w:rsidP="003B6358">
            <w:pPr>
              <w:pStyle w:val="TableFigureLeft"/>
              <w:rPr>
                <w:szCs w:val="18"/>
                <w:lang w:val="en-US"/>
              </w:rPr>
            </w:pPr>
            <w:r w:rsidRPr="00B84D10">
              <w:rPr>
                <w:szCs w:val="18"/>
                <w:lang w:val="en-US"/>
              </w:rPr>
              <w:t>ATM T232</w:t>
            </w:r>
          </w:p>
        </w:tc>
        <w:tc>
          <w:tcPr>
            <w:tcW w:w="7534" w:type="dxa"/>
            <w:tcBorders>
              <w:top w:val="single" w:sz="6" w:space="0" w:color="auto"/>
              <w:left w:val="single" w:sz="6" w:space="0" w:color="auto"/>
              <w:bottom w:val="single" w:sz="6" w:space="0" w:color="auto"/>
              <w:right w:val="single" w:sz="12" w:space="0" w:color="auto"/>
            </w:tcBorders>
            <w:shd w:val="clear" w:color="auto" w:fill="auto"/>
            <w:vAlign w:val="center"/>
          </w:tcPr>
          <w:p w14:paraId="7464DB26" w14:textId="58249445" w:rsidR="002034CB" w:rsidRPr="00B84D10" w:rsidRDefault="002034CB" w:rsidP="003B6358">
            <w:pPr>
              <w:pStyle w:val="TableFigureLeft"/>
              <w:rPr>
                <w:szCs w:val="18"/>
                <w:lang w:val="en-US"/>
              </w:rPr>
            </w:pPr>
            <w:r w:rsidRPr="00B84D10">
              <w:rPr>
                <w:szCs w:val="18"/>
                <w:lang w:val="en-US"/>
              </w:rPr>
              <w:t>Stripping potential of asphalt – Tensile strength ratio</w:t>
            </w:r>
          </w:p>
        </w:tc>
      </w:tr>
      <w:tr w:rsidR="002034CB" w:rsidRPr="00774B50" w14:paraId="43F51142" w14:textId="77777777" w:rsidTr="00640863">
        <w:tc>
          <w:tcPr>
            <w:tcW w:w="2091" w:type="dxa"/>
            <w:tcBorders>
              <w:top w:val="single" w:sz="6" w:space="0" w:color="auto"/>
              <w:left w:val="single" w:sz="12" w:space="0" w:color="auto"/>
              <w:bottom w:val="single" w:sz="6" w:space="0" w:color="auto"/>
              <w:right w:val="single" w:sz="6" w:space="0" w:color="auto"/>
            </w:tcBorders>
            <w:shd w:val="clear" w:color="auto" w:fill="auto"/>
            <w:vAlign w:val="center"/>
          </w:tcPr>
          <w:p w14:paraId="594E4023" w14:textId="65A8C23E" w:rsidR="002034CB" w:rsidRPr="00B84D10" w:rsidRDefault="002034CB" w:rsidP="003B6358">
            <w:pPr>
              <w:pStyle w:val="TableFigureLeft"/>
              <w:rPr>
                <w:szCs w:val="18"/>
                <w:lang w:val="en-US"/>
              </w:rPr>
            </w:pPr>
            <w:r w:rsidRPr="00B84D10">
              <w:rPr>
                <w:szCs w:val="18"/>
                <w:lang w:val="en-US"/>
              </w:rPr>
              <w:t>AGPT/T274</w:t>
            </w:r>
          </w:p>
        </w:tc>
        <w:tc>
          <w:tcPr>
            <w:tcW w:w="7534" w:type="dxa"/>
            <w:tcBorders>
              <w:top w:val="single" w:sz="6" w:space="0" w:color="auto"/>
              <w:left w:val="single" w:sz="6" w:space="0" w:color="auto"/>
              <w:bottom w:val="single" w:sz="6" w:space="0" w:color="auto"/>
              <w:right w:val="single" w:sz="12" w:space="0" w:color="auto"/>
            </w:tcBorders>
            <w:shd w:val="clear" w:color="auto" w:fill="auto"/>
            <w:vAlign w:val="center"/>
          </w:tcPr>
          <w:p w14:paraId="29FF588E" w14:textId="78A36466" w:rsidR="002034CB" w:rsidRPr="00B84D10" w:rsidRDefault="002034CB" w:rsidP="003B6358">
            <w:pPr>
              <w:pStyle w:val="TableFigureLeft"/>
              <w:rPr>
                <w:szCs w:val="18"/>
                <w:lang w:val="en-US"/>
              </w:rPr>
            </w:pPr>
            <w:r w:rsidRPr="00B84D10">
              <w:rPr>
                <w:szCs w:val="18"/>
                <w:lang w:val="en-US"/>
              </w:rPr>
              <w:t>Characterisation of flexural stiffness and fatigue performance of bituminous mixes</w:t>
            </w:r>
          </w:p>
        </w:tc>
      </w:tr>
      <w:tr w:rsidR="003B6358" w:rsidRPr="00774B50" w14:paraId="1C5D80FA" w14:textId="77777777" w:rsidTr="00B84D10">
        <w:tc>
          <w:tcPr>
            <w:tcW w:w="9625" w:type="dxa"/>
            <w:gridSpan w:val="2"/>
            <w:tcBorders>
              <w:top w:val="single" w:sz="12" w:space="0" w:color="auto"/>
              <w:left w:val="single" w:sz="12" w:space="0" w:color="auto"/>
              <w:bottom w:val="single" w:sz="12" w:space="0" w:color="auto"/>
              <w:right w:val="single" w:sz="12" w:space="0" w:color="auto"/>
            </w:tcBorders>
            <w:shd w:val="clear" w:color="auto" w:fill="D9D9D9"/>
          </w:tcPr>
          <w:p w14:paraId="30C8A48D" w14:textId="6266D1EC" w:rsidR="003B6358" w:rsidRPr="00774B50" w:rsidRDefault="003B6358" w:rsidP="003B6358">
            <w:pPr>
              <w:pStyle w:val="TableHeadingLeft"/>
            </w:pPr>
            <w:r>
              <w:t>European Standards</w:t>
            </w:r>
          </w:p>
        </w:tc>
      </w:tr>
      <w:tr w:rsidR="003B6358" w:rsidRPr="00774B50" w14:paraId="4DED3CA1" w14:textId="77777777" w:rsidTr="00640863">
        <w:tc>
          <w:tcPr>
            <w:tcW w:w="2091" w:type="dxa"/>
            <w:tcBorders>
              <w:top w:val="single" w:sz="6" w:space="0" w:color="auto"/>
              <w:left w:val="single" w:sz="12" w:space="0" w:color="auto"/>
              <w:bottom w:val="single" w:sz="6" w:space="0" w:color="auto"/>
              <w:right w:val="single" w:sz="6" w:space="0" w:color="auto"/>
            </w:tcBorders>
            <w:shd w:val="clear" w:color="auto" w:fill="auto"/>
            <w:vAlign w:val="center"/>
          </w:tcPr>
          <w:p w14:paraId="296769EB" w14:textId="45D4A316" w:rsidR="003B6358" w:rsidRPr="00D1239B" w:rsidRDefault="00D71789" w:rsidP="003B6358">
            <w:pPr>
              <w:pStyle w:val="TableFigureLeft"/>
              <w:rPr>
                <w:szCs w:val="18"/>
              </w:rPr>
            </w:pPr>
            <w:r w:rsidRPr="00537AF7">
              <w:rPr>
                <w:szCs w:val="18"/>
                <w:lang w:val="en-US"/>
              </w:rPr>
              <w:t>EN 12594</w:t>
            </w:r>
          </w:p>
        </w:tc>
        <w:tc>
          <w:tcPr>
            <w:tcW w:w="7534" w:type="dxa"/>
            <w:tcBorders>
              <w:top w:val="single" w:sz="6" w:space="0" w:color="auto"/>
              <w:left w:val="single" w:sz="6" w:space="0" w:color="auto"/>
              <w:bottom w:val="single" w:sz="6" w:space="0" w:color="auto"/>
              <w:right w:val="single" w:sz="12" w:space="0" w:color="auto"/>
            </w:tcBorders>
            <w:shd w:val="clear" w:color="auto" w:fill="auto"/>
            <w:vAlign w:val="center"/>
          </w:tcPr>
          <w:p w14:paraId="7F5729D8" w14:textId="033BE650" w:rsidR="003B6358" w:rsidRPr="00B84D10" w:rsidRDefault="00D71789" w:rsidP="003B6358">
            <w:pPr>
              <w:pStyle w:val="TableFigureLeft"/>
              <w:rPr>
                <w:szCs w:val="18"/>
              </w:rPr>
            </w:pPr>
            <w:r w:rsidRPr="00B84D10">
              <w:rPr>
                <w:szCs w:val="18"/>
                <w:lang w:val="en-US"/>
              </w:rPr>
              <w:t>Bitumen and bituminous binders – Preparation of test samples</w:t>
            </w:r>
          </w:p>
        </w:tc>
      </w:tr>
      <w:tr w:rsidR="00D71789" w:rsidRPr="00774B50" w14:paraId="4375E740" w14:textId="77777777" w:rsidTr="00640863">
        <w:tc>
          <w:tcPr>
            <w:tcW w:w="2091" w:type="dxa"/>
            <w:tcBorders>
              <w:top w:val="single" w:sz="6" w:space="0" w:color="auto"/>
              <w:left w:val="single" w:sz="12" w:space="0" w:color="auto"/>
              <w:bottom w:val="single" w:sz="6" w:space="0" w:color="auto"/>
              <w:right w:val="single" w:sz="6" w:space="0" w:color="auto"/>
            </w:tcBorders>
            <w:shd w:val="clear" w:color="auto" w:fill="auto"/>
            <w:vAlign w:val="center"/>
          </w:tcPr>
          <w:p w14:paraId="581B5FFC" w14:textId="6E877DB4" w:rsidR="00D71789" w:rsidRPr="00B84D10" w:rsidRDefault="00D71789" w:rsidP="00D71789">
            <w:pPr>
              <w:pStyle w:val="TableFigureLeft"/>
              <w:rPr>
                <w:szCs w:val="18"/>
                <w:lang w:val="en-US"/>
              </w:rPr>
            </w:pPr>
            <w:r w:rsidRPr="00B84D10">
              <w:rPr>
                <w:szCs w:val="18"/>
                <w:lang w:val="en-US"/>
              </w:rPr>
              <w:t>EN 13179–1</w:t>
            </w:r>
          </w:p>
        </w:tc>
        <w:tc>
          <w:tcPr>
            <w:tcW w:w="7534" w:type="dxa"/>
            <w:tcBorders>
              <w:top w:val="single" w:sz="6" w:space="0" w:color="auto"/>
              <w:left w:val="single" w:sz="6" w:space="0" w:color="auto"/>
              <w:bottom w:val="single" w:sz="6" w:space="0" w:color="auto"/>
              <w:right w:val="single" w:sz="12" w:space="0" w:color="auto"/>
            </w:tcBorders>
            <w:shd w:val="clear" w:color="auto" w:fill="auto"/>
            <w:vAlign w:val="center"/>
          </w:tcPr>
          <w:p w14:paraId="2D3E209D" w14:textId="5EEE587A" w:rsidR="00D71789" w:rsidRPr="00B84D10" w:rsidRDefault="00D71789" w:rsidP="00D71789">
            <w:pPr>
              <w:pStyle w:val="TableFigureLeft"/>
              <w:rPr>
                <w:szCs w:val="18"/>
                <w:lang w:val="en-US"/>
              </w:rPr>
            </w:pPr>
            <w:r w:rsidRPr="00B84D10">
              <w:rPr>
                <w:szCs w:val="18"/>
                <w:lang w:val="en-US"/>
              </w:rPr>
              <w:t>Tests for filler aggregate used in bituminous mixtures – Part 1: Delta ring and ball test</w:t>
            </w:r>
          </w:p>
        </w:tc>
      </w:tr>
      <w:tr w:rsidR="00D71789" w:rsidRPr="00774B50" w14:paraId="319EE7C2" w14:textId="77777777" w:rsidTr="00640863">
        <w:tc>
          <w:tcPr>
            <w:tcW w:w="2091" w:type="dxa"/>
            <w:tcBorders>
              <w:top w:val="single" w:sz="6" w:space="0" w:color="auto"/>
              <w:left w:val="single" w:sz="12" w:space="0" w:color="auto"/>
              <w:bottom w:val="single" w:sz="6" w:space="0" w:color="auto"/>
              <w:right w:val="single" w:sz="6" w:space="0" w:color="auto"/>
            </w:tcBorders>
            <w:shd w:val="clear" w:color="auto" w:fill="auto"/>
            <w:vAlign w:val="center"/>
          </w:tcPr>
          <w:p w14:paraId="1A28831E" w14:textId="4365875A" w:rsidR="00D71789" w:rsidRPr="00B84D10" w:rsidRDefault="00D71789" w:rsidP="00D71789">
            <w:pPr>
              <w:pStyle w:val="TableFigureLeft"/>
              <w:rPr>
                <w:szCs w:val="18"/>
                <w:lang w:val="en-US"/>
              </w:rPr>
            </w:pPr>
            <w:r w:rsidRPr="00B84D10">
              <w:rPr>
                <w:szCs w:val="18"/>
                <w:lang w:val="en-US"/>
              </w:rPr>
              <w:t>EN 13924 - 2006</w:t>
            </w:r>
          </w:p>
        </w:tc>
        <w:tc>
          <w:tcPr>
            <w:tcW w:w="7534" w:type="dxa"/>
            <w:tcBorders>
              <w:top w:val="single" w:sz="6" w:space="0" w:color="auto"/>
              <w:left w:val="single" w:sz="6" w:space="0" w:color="auto"/>
              <w:bottom w:val="single" w:sz="6" w:space="0" w:color="auto"/>
              <w:right w:val="single" w:sz="12" w:space="0" w:color="auto"/>
            </w:tcBorders>
            <w:shd w:val="clear" w:color="auto" w:fill="auto"/>
            <w:vAlign w:val="center"/>
          </w:tcPr>
          <w:p w14:paraId="1F3AE639" w14:textId="51DCF319" w:rsidR="00D71789" w:rsidRPr="00B84D10" w:rsidRDefault="00D71789" w:rsidP="00D71789">
            <w:pPr>
              <w:pStyle w:val="TableFigureLeft"/>
              <w:rPr>
                <w:szCs w:val="18"/>
                <w:lang w:val="en-US"/>
              </w:rPr>
            </w:pPr>
            <w:r w:rsidRPr="00B84D10">
              <w:rPr>
                <w:szCs w:val="18"/>
                <w:lang w:val="en-US"/>
              </w:rPr>
              <w:t>Bitumen and bituminous binders – Specifications for hard paving grade bitumens</w:t>
            </w:r>
          </w:p>
        </w:tc>
      </w:tr>
      <w:tr w:rsidR="00D71789" w:rsidRPr="00774B50" w14:paraId="7BD07811" w14:textId="77777777" w:rsidTr="00B84D10">
        <w:tc>
          <w:tcPr>
            <w:tcW w:w="9625" w:type="dxa"/>
            <w:gridSpan w:val="2"/>
            <w:tcBorders>
              <w:top w:val="single" w:sz="12" w:space="0" w:color="auto"/>
              <w:left w:val="single" w:sz="12" w:space="0" w:color="auto"/>
              <w:bottom w:val="single" w:sz="12" w:space="0" w:color="auto"/>
              <w:right w:val="single" w:sz="12" w:space="0" w:color="auto"/>
            </w:tcBorders>
            <w:shd w:val="clear" w:color="auto" w:fill="D9D9D9"/>
          </w:tcPr>
          <w:p w14:paraId="579B4C71" w14:textId="77777777" w:rsidR="00D71789" w:rsidRPr="00774B50" w:rsidRDefault="00D71789" w:rsidP="00D71789">
            <w:pPr>
              <w:pStyle w:val="TableHeadingLeft"/>
            </w:pPr>
            <w:r w:rsidRPr="00774B50">
              <w:t>VicRoads</w:t>
            </w:r>
          </w:p>
        </w:tc>
      </w:tr>
      <w:tr w:rsidR="00D71789" w:rsidRPr="00774B50" w14:paraId="34924E57" w14:textId="77777777" w:rsidTr="00B84D10">
        <w:tc>
          <w:tcPr>
            <w:tcW w:w="2091" w:type="dxa"/>
            <w:tcBorders>
              <w:left w:val="single" w:sz="12" w:space="0" w:color="auto"/>
            </w:tcBorders>
            <w:shd w:val="clear" w:color="auto" w:fill="auto"/>
            <w:vAlign w:val="center"/>
          </w:tcPr>
          <w:p w14:paraId="4C4A44C4" w14:textId="49004A86" w:rsidR="00D71789" w:rsidRPr="00B84D10" w:rsidRDefault="00D71789" w:rsidP="00D71789">
            <w:pPr>
              <w:pStyle w:val="TableFigureLeft"/>
              <w:rPr>
                <w:szCs w:val="18"/>
              </w:rPr>
            </w:pPr>
            <w:r w:rsidRPr="00B84D10">
              <w:rPr>
                <w:szCs w:val="18"/>
              </w:rPr>
              <w:t>RC 500.01</w:t>
            </w:r>
          </w:p>
        </w:tc>
        <w:tc>
          <w:tcPr>
            <w:tcW w:w="7534" w:type="dxa"/>
            <w:tcBorders>
              <w:right w:val="single" w:sz="12" w:space="0" w:color="auto"/>
            </w:tcBorders>
            <w:shd w:val="clear" w:color="auto" w:fill="auto"/>
            <w:vAlign w:val="center"/>
          </w:tcPr>
          <w:p w14:paraId="583CEE64" w14:textId="2B37D338" w:rsidR="00D71789" w:rsidRPr="00B84D10" w:rsidRDefault="00D71789" w:rsidP="00D71789">
            <w:pPr>
              <w:pStyle w:val="TableFigureLeft"/>
              <w:rPr>
                <w:szCs w:val="18"/>
              </w:rPr>
            </w:pPr>
            <w:r w:rsidRPr="00B84D10">
              <w:rPr>
                <w:szCs w:val="18"/>
              </w:rPr>
              <w:t>Registration of Bituminous Mix Designs</w:t>
            </w:r>
          </w:p>
        </w:tc>
      </w:tr>
    </w:tbl>
    <w:p w14:paraId="0C5D31A6" w14:textId="5339A6E7" w:rsidR="00061A39" w:rsidRDefault="00061A39" w:rsidP="00CA4068">
      <w:pPr>
        <w:rPr>
          <w:rFonts w:cs="Arial"/>
        </w:rPr>
      </w:pPr>
    </w:p>
    <w:p w14:paraId="65C4C921" w14:textId="2BF8EABF" w:rsidR="00061A39" w:rsidRDefault="00FA5F47" w:rsidP="00CA4068">
      <w:pPr>
        <w:rPr>
          <w:rFonts w:cs="Arial"/>
        </w:rPr>
      </w:pPr>
      <w:r w:rsidRPr="00FA5F47">
        <w:rPr>
          <w:rFonts w:cs="Arial"/>
        </w:rPr>
        <w:t>Section 175 details the revision dates of the relevant references in Section 4</w:t>
      </w:r>
      <w:r>
        <w:rPr>
          <w:rFonts w:cs="Arial"/>
        </w:rPr>
        <w:t>18</w:t>
      </w:r>
      <w:r w:rsidRPr="00FA5F47">
        <w:rPr>
          <w:rFonts w:cs="Arial"/>
        </w:rPr>
        <w:t>.</w:t>
      </w:r>
    </w:p>
    <w:p w14:paraId="50EE1CED" w14:textId="293C9980" w:rsidR="00CA6112" w:rsidRDefault="0094320C" w:rsidP="0094320C">
      <w:pPr>
        <w:widowControl/>
        <w:rPr>
          <w:rFonts w:cs="Arial"/>
        </w:rPr>
      </w:pPr>
      <w:r>
        <w:rPr>
          <w:rFonts w:cs="Arial"/>
        </w:rPr>
        <w:br w:type="page"/>
      </w:r>
    </w:p>
    <w:p w14:paraId="153E153C" w14:textId="7AAE7283" w:rsidR="000F120F" w:rsidRPr="00C61F10" w:rsidRDefault="000F120F" w:rsidP="00CA4068">
      <w:pPr>
        <w:pStyle w:val="Heading3SS"/>
      </w:pPr>
      <w:bookmarkStart w:id="2" w:name="_Hlk144722332"/>
      <w:r w:rsidRPr="00226FD8">
        <w:lastRenderedPageBreak/>
        <w:t>418.0</w:t>
      </w:r>
      <w:r w:rsidR="008B6E66">
        <w:t>3</w:t>
      </w:r>
      <w:r w:rsidRPr="00226FD8">
        <w:tab/>
        <w:t>AGGREGATES</w:t>
      </w:r>
      <w:r w:rsidR="00B50921">
        <w:t xml:space="preserve"> AND FILLER</w:t>
      </w:r>
    </w:p>
    <w:bookmarkEnd w:id="2"/>
    <w:p w14:paraId="09C15B0B" w14:textId="6535A7EA" w:rsidR="000F120F" w:rsidRPr="00C61F10" w:rsidRDefault="00B50921" w:rsidP="00D2748F">
      <w:pPr>
        <w:spacing w:before="200"/>
        <w:rPr>
          <w:rFonts w:cs="Arial"/>
        </w:rPr>
      </w:pPr>
      <w:r>
        <w:rPr>
          <w:rFonts w:cs="Arial"/>
        </w:rPr>
        <w:t>N</w:t>
      </w:r>
      <w:r w:rsidRPr="00226FD8">
        <w:rPr>
          <w:rFonts w:cs="Arial"/>
        </w:rPr>
        <w:t>o Reclaimed Asphalt Pavement (RAP) shall be incorporated into EME2.</w:t>
      </w:r>
    </w:p>
    <w:p w14:paraId="59CE69F8" w14:textId="662D3AC8" w:rsidR="000F120F" w:rsidRDefault="000F120F" w:rsidP="00CA4068">
      <w:pPr>
        <w:rPr>
          <w:rFonts w:cs="Arial"/>
        </w:rPr>
      </w:pPr>
    </w:p>
    <w:p w14:paraId="6FBE335E" w14:textId="2043AC63" w:rsidR="00B50921" w:rsidRPr="00B50921" w:rsidRDefault="00B50921" w:rsidP="00B50921">
      <w:pPr>
        <w:rPr>
          <w:rFonts w:cs="Arial"/>
        </w:rPr>
      </w:pPr>
      <w:r w:rsidRPr="00B50921">
        <w:rPr>
          <w:rFonts w:cs="Arial"/>
        </w:rPr>
        <w:t>The asphalt mix shall incorporate coarse aggregate, fine aggregate</w:t>
      </w:r>
      <w:r w:rsidR="00872754">
        <w:rPr>
          <w:rFonts w:cs="Arial"/>
        </w:rPr>
        <w:t xml:space="preserve"> and </w:t>
      </w:r>
      <w:r w:rsidRPr="00B50921">
        <w:rPr>
          <w:rFonts w:cs="Arial"/>
        </w:rPr>
        <w:t>filler complying with the following requirements:</w:t>
      </w:r>
    </w:p>
    <w:p w14:paraId="6EC58E36" w14:textId="77777777" w:rsidR="00B50921" w:rsidRPr="00B50921" w:rsidRDefault="00B50921" w:rsidP="00B50921">
      <w:pPr>
        <w:rPr>
          <w:rFonts w:cs="Arial"/>
        </w:rPr>
      </w:pPr>
    </w:p>
    <w:p w14:paraId="2BEDB191" w14:textId="31C52643" w:rsidR="00B50921" w:rsidRPr="00B84D10" w:rsidRDefault="00B50921" w:rsidP="00B84D10">
      <w:pPr>
        <w:pStyle w:val="ListParagraph"/>
        <w:numPr>
          <w:ilvl w:val="0"/>
          <w:numId w:val="21"/>
        </w:numPr>
        <w:ind w:left="360"/>
        <w:rPr>
          <w:rFonts w:cs="Arial"/>
        </w:rPr>
      </w:pPr>
      <w:r w:rsidRPr="00B84D10">
        <w:rPr>
          <w:rFonts w:ascii="Arial" w:hAnsi="Arial" w:cs="Arial"/>
        </w:rPr>
        <w:t>Coarse Aggregate</w:t>
      </w:r>
      <w:r w:rsidR="00C8491B" w:rsidRPr="00B84D10">
        <w:rPr>
          <w:rFonts w:ascii="Arial" w:hAnsi="Arial" w:cs="Arial"/>
        </w:rPr>
        <w:t>s</w:t>
      </w:r>
    </w:p>
    <w:p w14:paraId="3B6C07C1" w14:textId="77777777" w:rsidR="00C8491B" w:rsidRPr="000F6E49" w:rsidRDefault="00C8491B" w:rsidP="00C8491B">
      <w:pPr>
        <w:rPr>
          <w:rFonts w:cs="Arial"/>
        </w:rPr>
      </w:pPr>
    </w:p>
    <w:p w14:paraId="58C1DC91" w14:textId="0B3955DA" w:rsidR="00B50921" w:rsidRPr="00B84D10" w:rsidRDefault="00B50921" w:rsidP="00B84D10">
      <w:pPr>
        <w:pStyle w:val="ListParagraph"/>
        <w:ind w:left="360"/>
        <w:rPr>
          <w:rFonts w:cs="Arial"/>
        </w:rPr>
      </w:pPr>
      <w:r w:rsidRPr="00B84D10">
        <w:rPr>
          <w:rFonts w:ascii="Arial" w:hAnsi="Arial" w:cs="Arial"/>
        </w:rPr>
        <w:t xml:space="preserve">Coarse aggregates shall comply with the requirements of </w:t>
      </w:r>
      <w:r w:rsidR="000F6E49">
        <w:rPr>
          <w:rFonts w:ascii="Arial" w:hAnsi="Arial" w:cs="Arial"/>
        </w:rPr>
        <w:t>C</w:t>
      </w:r>
      <w:r w:rsidRPr="00B84D10">
        <w:rPr>
          <w:rFonts w:ascii="Arial" w:hAnsi="Arial" w:cs="Arial"/>
        </w:rPr>
        <w:t>lause 407.06 for Type S</w:t>
      </w:r>
      <w:r w:rsidR="00872754">
        <w:rPr>
          <w:rFonts w:ascii="Arial" w:hAnsi="Arial" w:cs="Arial"/>
        </w:rPr>
        <w:t xml:space="preserve"> asphalt</w:t>
      </w:r>
      <w:r w:rsidRPr="00B84D10">
        <w:rPr>
          <w:rFonts w:ascii="Arial" w:hAnsi="Arial" w:cs="Arial"/>
        </w:rPr>
        <w:t xml:space="preserve">, except the Flakiness Index of each separate sized coarse aggregate fraction, with a nominal size of 10 mm or larger, shall be </w:t>
      </w:r>
      <w:r w:rsidR="00872754">
        <w:rPr>
          <w:rFonts w:ascii="Arial" w:hAnsi="Arial" w:cs="Arial"/>
        </w:rPr>
        <w:t xml:space="preserve">up to </w:t>
      </w:r>
      <w:r w:rsidRPr="00B84D10">
        <w:rPr>
          <w:rFonts w:ascii="Arial" w:hAnsi="Arial" w:cs="Arial"/>
        </w:rPr>
        <w:t>a maximum of 25%.</w:t>
      </w:r>
    </w:p>
    <w:p w14:paraId="20379F2A" w14:textId="77777777" w:rsidR="00B50921" w:rsidRPr="000F6E49" w:rsidRDefault="00B50921" w:rsidP="00C8491B">
      <w:pPr>
        <w:rPr>
          <w:rFonts w:cs="Arial"/>
        </w:rPr>
      </w:pPr>
    </w:p>
    <w:p w14:paraId="10E1C4BC" w14:textId="1AD223C2" w:rsidR="00B50921" w:rsidRPr="00B84D10" w:rsidRDefault="00B50921" w:rsidP="00B84D10">
      <w:pPr>
        <w:pStyle w:val="ListParagraph"/>
        <w:numPr>
          <w:ilvl w:val="0"/>
          <w:numId w:val="21"/>
        </w:numPr>
        <w:ind w:left="360"/>
        <w:rPr>
          <w:rFonts w:cs="Arial"/>
        </w:rPr>
      </w:pPr>
      <w:r w:rsidRPr="00B84D10">
        <w:rPr>
          <w:rFonts w:ascii="Arial" w:hAnsi="Arial" w:cs="Arial"/>
        </w:rPr>
        <w:t>Fine Aggregate</w:t>
      </w:r>
      <w:r w:rsidR="00C8491B" w:rsidRPr="00B84D10">
        <w:rPr>
          <w:rFonts w:ascii="Arial" w:hAnsi="Arial" w:cs="Arial"/>
        </w:rPr>
        <w:t>s</w:t>
      </w:r>
    </w:p>
    <w:p w14:paraId="2036DED9" w14:textId="77777777" w:rsidR="00C8491B" w:rsidRPr="000F6E49" w:rsidRDefault="00C8491B" w:rsidP="00C8491B">
      <w:pPr>
        <w:rPr>
          <w:rFonts w:cs="Arial"/>
        </w:rPr>
      </w:pPr>
    </w:p>
    <w:p w14:paraId="404515CC" w14:textId="2F2EE273" w:rsidR="00B50921" w:rsidRPr="00B84D10" w:rsidRDefault="00B50921" w:rsidP="00B84D10">
      <w:pPr>
        <w:pStyle w:val="ListParagraph"/>
        <w:ind w:left="360"/>
        <w:rPr>
          <w:rFonts w:cs="Arial"/>
        </w:rPr>
      </w:pPr>
      <w:r w:rsidRPr="00B84D10">
        <w:rPr>
          <w:rFonts w:ascii="Arial" w:hAnsi="Arial" w:cs="Arial"/>
        </w:rPr>
        <w:t xml:space="preserve">Fine aggregates shall comply with the requirements of </w:t>
      </w:r>
      <w:r w:rsidR="000F6E49">
        <w:rPr>
          <w:rFonts w:ascii="Arial" w:hAnsi="Arial" w:cs="Arial"/>
        </w:rPr>
        <w:t>C</w:t>
      </w:r>
      <w:r w:rsidRPr="00B84D10">
        <w:rPr>
          <w:rFonts w:ascii="Arial" w:hAnsi="Arial" w:cs="Arial"/>
        </w:rPr>
        <w:t xml:space="preserve">lause 407.06 except that natural sand or </w:t>
      </w:r>
      <w:r w:rsidR="00072069" w:rsidRPr="00072069">
        <w:t xml:space="preserve"> </w:t>
      </w:r>
      <w:r w:rsidR="00072069">
        <w:t>r</w:t>
      </w:r>
      <w:r w:rsidR="00072069" w:rsidRPr="00072069">
        <w:rPr>
          <w:rFonts w:ascii="Arial" w:hAnsi="Arial" w:cs="Arial"/>
        </w:rPr>
        <w:t xml:space="preserve">ecycled </w:t>
      </w:r>
      <w:r w:rsidR="00072069">
        <w:rPr>
          <w:rFonts w:ascii="Arial" w:hAnsi="Arial" w:cs="Arial"/>
        </w:rPr>
        <w:t>c</w:t>
      </w:r>
      <w:r w:rsidR="00072069" w:rsidRPr="00072069">
        <w:rPr>
          <w:rFonts w:ascii="Arial" w:hAnsi="Arial" w:cs="Arial"/>
        </w:rPr>
        <w:t xml:space="preserve">rushed </w:t>
      </w:r>
      <w:r w:rsidR="00072069">
        <w:rPr>
          <w:rFonts w:ascii="Arial" w:hAnsi="Arial" w:cs="Arial"/>
        </w:rPr>
        <w:t>gl</w:t>
      </w:r>
      <w:r w:rsidR="00072069" w:rsidRPr="00072069">
        <w:rPr>
          <w:rFonts w:ascii="Arial" w:hAnsi="Arial" w:cs="Arial"/>
        </w:rPr>
        <w:t xml:space="preserve">ass </w:t>
      </w:r>
      <w:r w:rsidR="00072069">
        <w:rPr>
          <w:rFonts w:ascii="Arial" w:hAnsi="Arial" w:cs="Arial"/>
        </w:rPr>
        <w:t>s</w:t>
      </w:r>
      <w:r w:rsidR="00072069" w:rsidRPr="00072069">
        <w:rPr>
          <w:rFonts w:ascii="Arial" w:hAnsi="Arial" w:cs="Arial"/>
        </w:rPr>
        <w:t xml:space="preserve">and </w:t>
      </w:r>
      <w:r w:rsidRPr="00B84D10">
        <w:rPr>
          <w:rFonts w:ascii="Arial" w:hAnsi="Arial" w:cs="Arial"/>
        </w:rPr>
        <w:t>shall not be used.</w:t>
      </w:r>
    </w:p>
    <w:p w14:paraId="675D3B38" w14:textId="77777777" w:rsidR="00C8491B" w:rsidRPr="000F6E49" w:rsidRDefault="00C8491B" w:rsidP="00C8491B">
      <w:pPr>
        <w:rPr>
          <w:rFonts w:cs="Arial"/>
        </w:rPr>
      </w:pPr>
    </w:p>
    <w:p w14:paraId="0BD16C63" w14:textId="6387AF4E" w:rsidR="00B50921" w:rsidRPr="00B84D10" w:rsidRDefault="00B50921" w:rsidP="00B84D10">
      <w:pPr>
        <w:pStyle w:val="ListParagraph"/>
        <w:numPr>
          <w:ilvl w:val="0"/>
          <w:numId w:val="21"/>
        </w:numPr>
        <w:ind w:left="360"/>
        <w:rPr>
          <w:rFonts w:cs="Arial"/>
        </w:rPr>
      </w:pPr>
      <w:r w:rsidRPr="00B84D10">
        <w:rPr>
          <w:rFonts w:ascii="Arial" w:hAnsi="Arial" w:cs="Arial"/>
        </w:rPr>
        <w:t>Filler</w:t>
      </w:r>
    </w:p>
    <w:p w14:paraId="01BEE75B" w14:textId="77777777" w:rsidR="00C8491B" w:rsidRPr="000F6E49" w:rsidRDefault="00C8491B" w:rsidP="00B50921">
      <w:pPr>
        <w:rPr>
          <w:rFonts w:cs="Arial"/>
        </w:rPr>
      </w:pPr>
    </w:p>
    <w:p w14:paraId="7C37C3F0" w14:textId="3F94CF7B" w:rsidR="00B50921" w:rsidRPr="000F6E49" w:rsidRDefault="00B50921" w:rsidP="00B84D10">
      <w:pPr>
        <w:ind w:left="360"/>
        <w:rPr>
          <w:rFonts w:cs="Arial"/>
        </w:rPr>
      </w:pPr>
      <w:r w:rsidRPr="000F6E49">
        <w:rPr>
          <w:rFonts w:cs="Arial"/>
        </w:rPr>
        <w:t xml:space="preserve">The combined filler shall comply with the requirements of </w:t>
      </w:r>
      <w:r w:rsidR="000F6E49">
        <w:rPr>
          <w:rFonts w:cs="Arial"/>
        </w:rPr>
        <w:t>C</w:t>
      </w:r>
      <w:r w:rsidRPr="000F6E49">
        <w:rPr>
          <w:rFonts w:cs="Arial"/>
        </w:rPr>
        <w:t>lause 407.07, except that the voids in dry compacted filler (dry compacted voids), and the Delta ring and ball shall meet the requirements specified in Table 418.0</w:t>
      </w:r>
      <w:r w:rsidR="00C8491B" w:rsidRPr="000F6E49">
        <w:rPr>
          <w:rFonts w:cs="Arial"/>
        </w:rPr>
        <w:t>3</w:t>
      </w:r>
      <w:r w:rsidRPr="000F6E49">
        <w:rPr>
          <w:rFonts w:cs="Arial"/>
        </w:rPr>
        <w:t>1.</w:t>
      </w:r>
    </w:p>
    <w:p w14:paraId="5B98962F" w14:textId="77777777" w:rsidR="00B50921" w:rsidRPr="000F6E49" w:rsidRDefault="00B50921" w:rsidP="00B50921">
      <w:pPr>
        <w:rPr>
          <w:rFonts w:cs="Arial"/>
          <w:bCs/>
        </w:rPr>
      </w:pPr>
    </w:p>
    <w:p w14:paraId="0264D450" w14:textId="79BD401E" w:rsidR="00B50921" w:rsidRPr="000F6E49" w:rsidRDefault="00B50921" w:rsidP="00B84D10">
      <w:pPr>
        <w:ind w:left="360"/>
        <w:rPr>
          <w:rFonts w:cs="Arial"/>
          <w:b/>
        </w:rPr>
      </w:pPr>
      <w:r w:rsidRPr="000F6E49">
        <w:rPr>
          <w:rFonts w:cs="Arial"/>
          <w:b/>
        </w:rPr>
        <w:t>Table 418.031 Combined Filler Requirements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85" w:type="dxa"/>
          <w:bottom w:w="57" w:type="dxa"/>
          <w:right w:w="85" w:type="dxa"/>
        </w:tblCellMar>
        <w:tblLook w:val="04A0" w:firstRow="1" w:lastRow="0" w:firstColumn="1" w:lastColumn="0" w:noHBand="0" w:noVBand="1"/>
      </w:tblPr>
      <w:tblGrid>
        <w:gridCol w:w="3249"/>
        <w:gridCol w:w="2410"/>
        <w:gridCol w:w="1134"/>
        <w:gridCol w:w="2126"/>
      </w:tblGrid>
      <w:tr w:rsidR="00C8491B" w:rsidRPr="000F6E49" w14:paraId="151457CA" w14:textId="77777777" w:rsidTr="00C8491B">
        <w:trPr>
          <w:cantSplit/>
          <w:jc w:val="center"/>
        </w:trPr>
        <w:tc>
          <w:tcPr>
            <w:tcW w:w="3249" w:type="dxa"/>
            <w:tcBorders>
              <w:top w:val="single" w:sz="12" w:space="0" w:color="auto"/>
              <w:left w:val="single" w:sz="12" w:space="0" w:color="auto"/>
              <w:bottom w:val="single" w:sz="12" w:space="0" w:color="auto"/>
            </w:tcBorders>
            <w:vAlign w:val="center"/>
          </w:tcPr>
          <w:p w14:paraId="7131B9EE" w14:textId="77777777" w:rsidR="00B50921" w:rsidRPr="000F6E49" w:rsidRDefault="00B50921" w:rsidP="00B84D10">
            <w:pPr>
              <w:jc w:val="center"/>
              <w:rPr>
                <w:rFonts w:cs="Arial"/>
                <w:b/>
                <w:bCs/>
                <w:lang w:val="en-AU"/>
              </w:rPr>
            </w:pPr>
            <w:r w:rsidRPr="000F6E49">
              <w:rPr>
                <w:rFonts w:cs="Arial"/>
                <w:b/>
                <w:bCs/>
                <w:lang w:val="en-AU"/>
              </w:rPr>
              <w:t>Material Property</w:t>
            </w:r>
          </w:p>
        </w:tc>
        <w:tc>
          <w:tcPr>
            <w:tcW w:w="2410" w:type="dxa"/>
            <w:tcBorders>
              <w:top w:val="single" w:sz="12" w:space="0" w:color="auto"/>
              <w:bottom w:val="single" w:sz="12" w:space="0" w:color="auto"/>
            </w:tcBorders>
            <w:vAlign w:val="center"/>
          </w:tcPr>
          <w:p w14:paraId="1BB6DA80" w14:textId="77777777" w:rsidR="00B50921" w:rsidRPr="000F6E49" w:rsidRDefault="00B50921" w:rsidP="00B84D10">
            <w:pPr>
              <w:jc w:val="center"/>
              <w:rPr>
                <w:rFonts w:cs="Arial"/>
                <w:b/>
                <w:bCs/>
                <w:lang w:val="en-AU"/>
              </w:rPr>
            </w:pPr>
            <w:r w:rsidRPr="000F6E49">
              <w:rPr>
                <w:rFonts w:cs="Arial"/>
                <w:b/>
                <w:bCs/>
                <w:lang w:val="en-AU"/>
              </w:rPr>
              <w:t>Test Method</w:t>
            </w:r>
          </w:p>
        </w:tc>
        <w:tc>
          <w:tcPr>
            <w:tcW w:w="1134" w:type="dxa"/>
            <w:tcBorders>
              <w:top w:val="single" w:sz="12" w:space="0" w:color="auto"/>
              <w:bottom w:val="single" w:sz="12" w:space="0" w:color="auto"/>
            </w:tcBorders>
            <w:vAlign w:val="center"/>
          </w:tcPr>
          <w:p w14:paraId="50E90E6E" w14:textId="77777777" w:rsidR="00B50921" w:rsidRPr="000F6E49" w:rsidRDefault="00B50921" w:rsidP="00B84D10">
            <w:pPr>
              <w:jc w:val="center"/>
              <w:rPr>
                <w:rFonts w:cs="Arial"/>
                <w:b/>
                <w:bCs/>
                <w:lang w:val="en-AU"/>
              </w:rPr>
            </w:pPr>
            <w:r w:rsidRPr="000F6E49">
              <w:rPr>
                <w:rFonts w:cs="Arial"/>
                <w:b/>
                <w:bCs/>
                <w:lang w:val="en-AU"/>
              </w:rPr>
              <w:t>Value</w:t>
            </w:r>
          </w:p>
        </w:tc>
        <w:tc>
          <w:tcPr>
            <w:tcW w:w="2126" w:type="dxa"/>
            <w:tcBorders>
              <w:top w:val="single" w:sz="12" w:space="0" w:color="auto"/>
              <w:bottom w:val="single" w:sz="12" w:space="0" w:color="auto"/>
              <w:right w:val="single" w:sz="12" w:space="0" w:color="auto"/>
            </w:tcBorders>
            <w:vAlign w:val="center"/>
          </w:tcPr>
          <w:p w14:paraId="17DB7911" w14:textId="77777777" w:rsidR="00B50921" w:rsidRPr="000F6E49" w:rsidRDefault="00B50921" w:rsidP="00B84D10">
            <w:pPr>
              <w:jc w:val="center"/>
              <w:rPr>
                <w:rFonts w:cs="Arial"/>
                <w:b/>
                <w:bCs/>
                <w:lang w:val="en-AU"/>
              </w:rPr>
            </w:pPr>
            <w:r w:rsidRPr="000F6E49">
              <w:rPr>
                <w:rFonts w:cs="Arial"/>
                <w:b/>
                <w:bCs/>
                <w:lang w:val="en-AU"/>
              </w:rPr>
              <w:t>Testing Frequency</w:t>
            </w:r>
          </w:p>
        </w:tc>
      </w:tr>
      <w:tr w:rsidR="00C8491B" w:rsidRPr="000F6E49" w14:paraId="3C60D9C9" w14:textId="77777777" w:rsidTr="00C8491B">
        <w:trPr>
          <w:cantSplit/>
          <w:jc w:val="center"/>
        </w:trPr>
        <w:tc>
          <w:tcPr>
            <w:tcW w:w="3249" w:type="dxa"/>
            <w:tcBorders>
              <w:top w:val="single" w:sz="12" w:space="0" w:color="auto"/>
              <w:left w:val="single" w:sz="12" w:space="0" w:color="auto"/>
            </w:tcBorders>
          </w:tcPr>
          <w:p w14:paraId="3D54C07B" w14:textId="77777777" w:rsidR="00B50921" w:rsidRPr="000F6E49" w:rsidRDefault="00B50921" w:rsidP="00A64B64">
            <w:pPr>
              <w:rPr>
                <w:rFonts w:cs="Arial"/>
                <w:bCs/>
                <w:lang w:val="en-AU"/>
              </w:rPr>
            </w:pPr>
            <w:r w:rsidRPr="000F6E49">
              <w:rPr>
                <w:rFonts w:cs="Arial"/>
                <w:bCs/>
                <w:lang w:val="en-AU"/>
              </w:rPr>
              <w:t>Voids in dry compacted filler</w:t>
            </w:r>
          </w:p>
        </w:tc>
        <w:tc>
          <w:tcPr>
            <w:tcW w:w="2410" w:type="dxa"/>
            <w:tcBorders>
              <w:top w:val="single" w:sz="12" w:space="0" w:color="auto"/>
            </w:tcBorders>
          </w:tcPr>
          <w:p w14:paraId="7768F27E" w14:textId="77777777" w:rsidR="00B50921" w:rsidRPr="000F6E49" w:rsidRDefault="00B50921" w:rsidP="00B84D10">
            <w:pPr>
              <w:jc w:val="center"/>
              <w:rPr>
                <w:rFonts w:cs="Arial"/>
                <w:bCs/>
                <w:lang w:val="en-AU"/>
              </w:rPr>
            </w:pPr>
            <w:r w:rsidRPr="000F6E49">
              <w:rPr>
                <w:rFonts w:cs="Arial"/>
                <w:bCs/>
                <w:lang w:val="en-AU"/>
              </w:rPr>
              <w:t>AS1141.17</w:t>
            </w:r>
          </w:p>
        </w:tc>
        <w:tc>
          <w:tcPr>
            <w:tcW w:w="1134" w:type="dxa"/>
            <w:tcBorders>
              <w:top w:val="single" w:sz="12" w:space="0" w:color="auto"/>
            </w:tcBorders>
          </w:tcPr>
          <w:p w14:paraId="102BB460" w14:textId="77777777" w:rsidR="00B50921" w:rsidRPr="000F6E49" w:rsidRDefault="00B50921" w:rsidP="00B84D10">
            <w:pPr>
              <w:jc w:val="center"/>
              <w:rPr>
                <w:rFonts w:cs="Arial"/>
                <w:bCs/>
                <w:lang w:val="en-AU"/>
              </w:rPr>
            </w:pPr>
            <w:r w:rsidRPr="000F6E49">
              <w:rPr>
                <w:rFonts w:cs="Arial"/>
                <w:bCs/>
                <w:lang w:val="en-AU"/>
              </w:rPr>
              <w:t>Min 28%</w:t>
            </w:r>
          </w:p>
          <w:p w14:paraId="77B3903A" w14:textId="77777777" w:rsidR="00B50921" w:rsidRPr="000F6E49" w:rsidRDefault="00B50921" w:rsidP="00B84D10">
            <w:pPr>
              <w:jc w:val="center"/>
              <w:rPr>
                <w:rFonts w:cs="Arial"/>
                <w:bCs/>
                <w:lang w:val="en-AU"/>
              </w:rPr>
            </w:pPr>
            <w:r w:rsidRPr="000F6E49">
              <w:rPr>
                <w:rFonts w:cs="Arial"/>
                <w:bCs/>
                <w:lang w:val="en-AU"/>
              </w:rPr>
              <w:t>Max 45%</w:t>
            </w:r>
          </w:p>
        </w:tc>
        <w:tc>
          <w:tcPr>
            <w:tcW w:w="2126" w:type="dxa"/>
            <w:tcBorders>
              <w:top w:val="single" w:sz="12" w:space="0" w:color="auto"/>
              <w:right w:val="single" w:sz="12" w:space="0" w:color="auto"/>
            </w:tcBorders>
          </w:tcPr>
          <w:p w14:paraId="3EB0FA9B" w14:textId="5948D50F" w:rsidR="00B50921" w:rsidRPr="000F6E49" w:rsidRDefault="00B50921" w:rsidP="00B84D10">
            <w:pPr>
              <w:jc w:val="center"/>
              <w:rPr>
                <w:rFonts w:cs="Arial"/>
                <w:bCs/>
                <w:lang w:val="en-AU"/>
              </w:rPr>
            </w:pPr>
            <w:r w:rsidRPr="000F6E49">
              <w:rPr>
                <w:rFonts w:cs="Arial"/>
                <w:bCs/>
                <w:lang w:val="en-AU"/>
              </w:rPr>
              <w:t>1 per month</w:t>
            </w:r>
          </w:p>
          <w:p w14:paraId="268AD7C3" w14:textId="77777777" w:rsidR="00B50921" w:rsidRPr="000F6E49" w:rsidRDefault="00B50921" w:rsidP="00B84D10">
            <w:pPr>
              <w:jc w:val="center"/>
              <w:rPr>
                <w:rFonts w:cs="Arial"/>
                <w:bCs/>
                <w:lang w:val="en-AU"/>
              </w:rPr>
            </w:pPr>
            <w:r w:rsidRPr="000F6E49">
              <w:rPr>
                <w:rFonts w:cs="Arial"/>
                <w:bCs/>
                <w:lang w:val="en-AU"/>
              </w:rPr>
              <w:t>production testing</w:t>
            </w:r>
            <w:r w:rsidRPr="000F6E49" w:rsidDel="00D95102">
              <w:rPr>
                <w:rFonts w:cs="Arial"/>
                <w:bCs/>
                <w:lang w:val="en-AU"/>
              </w:rPr>
              <w:t xml:space="preserve"> </w:t>
            </w:r>
          </w:p>
        </w:tc>
      </w:tr>
      <w:tr w:rsidR="00C8491B" w:rsidRPr="000F6E49" w14:paraId="63F1DD8C" w14:textId="77777777" w:rsidTr="00C8491B">
        <w:trPr>
          <w:cantSplit/>
          <w:jc w:val="center"/>
        </w:trPr>
        <w:tc>
          <w:tcPr>
            <w:tcW w:w="3249" w:type="dxa"/>
            <w:tcBorders>
              <w:left w:val="single" w:sz="12" w:space="0" w:color="auto"/>
              <w:bottom w:val="single" w:sz="12" w:space="0" w:color="auto"/>
            </w:tcBorders>
          </w:tcPr>
          <w:p w14:paraId="6457E3B3" w14:textId="77777777" w:rsidR="00B50921" w:rsidRPr="000F6E49" w:rsidRDefault="00B50921" w:rsidP="00A64B64">
            <w:pPr>
              <w:rPr>
                <w:rFonts w:cs="Arial"/>
                <w:bCs/>
                <w:lang w:val="en-AU"/>
              </w:rPr>
            </w:pPr>
            <w:r w:rsidRPr="000F6E49">
              <w:rPr>
                <w:rFonts w:cs="Arial"/>
                <w:bCs/>
                <w:lang w:val="en-AU"/>
              </w:rPr>
              <w:t xml:space="preserve">Delta ring and ball </w:t>
            </w:r>
            <w:r w:rsidRPr="000F6E49">
              <w:rPr>
                <w:rFonts w:cs="Arial"/>
                <w:b/>
                <w:bCs/>
                <w:vertAlign w:val="superscript"/>
                <w:lang w:val="en-AU"/>
              </w:rPr>
              <w:t>(1)</w:t>
            </w:r>
          </w:p>
        </w:tc>
        <w:tc>
          <w:tcPr>
            <w:tcW w:w="2410" w:type="dxa"/>
            <w:tcBorders>
              <w:bottom w:val="single" w:sz="12" w:space="0" w:color="auto"/>
            </w:tcBorders>
          </w:tcPr>
          <w:p w14:paraId="1AC7436A" w14:textId="77777777" w:rsidR="00B50921" w:rsidRPr="000F6E49" w:rsidRDefault="00B50921" w:rsidP="00B84D10">
            <w:pPr>
              <w:jc w:val="center"/>
              <w:rPr>
                <w:rFonts w:cs="Arial"/>
                <w:bCs/>
                <w:lang w:val="en-AU"/>
              </w:rPr>
            </w:pPr>
            <w:r w:rsidRPr="000F6E49">
              <w:rPr>
                <w:rFonts w:cs="Arial"/>
                <w:bCs/>
                <w:lang w:val="en-AU"/>
              </w:rPr>
              <w:t>EN 13179-1</w:t>
            </w:r>
            <w:r w:rsidRPr="000F6E49">
              <w:rPr>
                <w:rFonts w:cs="Arial"/>
                <w:bCs/>
                <w:vertAlign w:val="superscript"/>
                <w:lang w:val="en-AU"/>
              </w:rPr>
              <w:t xml:space="preserve"> </w:t>
            </w:r>
            <w:r w:rsidRPr="000F6E49">
              <w:rPr>
                <w:rFonts w:cs="Arial"/>
                <w:b/>
                <w:bCs/>
                <w:vertAlign w:val="superscript"/>
                <w:lang w:val="en-AU"/>
              </w:rPr>
              <w:t>(2,3)</w:t>
            </w:r>
            <w:r w:rsidRPr="000F6E49">
              <w:rPr>
                <w:rFonts w:cs="Arial"/>
                <w:bCs/>
                <w:lang w:val="en-AU"/>
              </w:rPr>
              <w:t xml:space="preserve"> and</w:t>
            </w:r>
          </w:p>
          <w:p w14:paraId="6971F6DF" w14:textId="77777777" w:rsidR="00B50921" w:rsidRPr="000F6E49" w:rsidRDefault="00B50921" w:rsidP="00B84D10">
            <w:pPr>
              <w:jc w:val="center"/>
              <w:rPr>
                <w:rFonts w:cs="Arial"/>
                <w:bCs/>
                <w:lang w:val="en-AU"/>
              </w:rPr>
            </w:pPr>
            <w:r w:rsidRPr="000F6E49">
              <w:rPr>
                <w:rFonts w:cs="Arial"/>
                <w:bCs/>
                <w:lang w:val="en-AU"/>
              </w:rPr>
              <w:t>AS 2341.18</w:t>
            </w:r>
          </w:p>
        </w:tc>
        <w:tc>
          <w:tcPr>
            <w:tcW w:w="1134" w:type="dxa"/>
            <w:tcBorders>
              <w:bottom w:val="single" w:sz="12" w:space="0" w:color="auto"/>
            </w:tcBorders>
          </w:tcPr>
          <w:p w14:paraId="5418C026" w14:textId="77777777" w:rsidR="00B50921" w:rsidRPr="000F6E49" w:rsidRDefault="00B50921" w:rsidP="00B84D10">
            <w:pPr>
              <w:jc w:val="center"/>
              <w:rPr>
                <w:rFonts w:cs="Arial"/>
                <w:bCs/>
                <w:lang w:val="en-AU"/>
              </w:rPr>
            </w:pPr>
            <w:r w:rsidRPr="000F6E49">
              <w:rPr>
                <w:rFonts w:cs="Arial"/>
                <w:bCs/>
                <w:lang w:val="en-AU"/>
              </w:rPr>
              <w:t>Min 8</w:t>
            </w:r>
            <w:r w:rsidRPr="000F6E49">
              <w:rPr>
                <w:rFonts w:cs="Arial"/>
                <w:bCs/>
                <w:vertAlign w:val="superscript"/>
                <w:lang w:val="en-AU"/>
              </w:rPr>
              <w:t>o</w:t>
            </w:r>
            <w:r w:rsidRPr="000F6E49">
              <w:rPr>
                <w:rFonts w:cs="Arial"/>
                <w:bCs/>
                <w:lang w:val="en-AU"/>
              </w:rPr>
              <w:t>C</w:t>
            </w:r>
          </w:p>
          <w:p w14:paraId="5490444D" w14:textId="77777777" w:rsidR="00B50921" w:rsidRPr="000F6E49" w:rsidRDefault="00B50921" w:rsidP="00B84D10">
            <w:pPr>
              <w:jc w:val="center"/>
              <w:rPr>
                <w:rFonts w:cs="Arial"/>
                <w:bCs/>
                <w:lang w:val="en-AU"/>
              </w:rPr>
            </w:pPr>
            <w:r w:rsidRPr="000F6E49">
              <w:rPr>
                <w:rFonts w:cs="Arial"/>
                <w:bCs/>
                <w:lang w:val="en-AU"/>
              </w:rPr>
              <w:t>Max 16</w:t>
            </w:r>
            <w:r w:rsidRPr="000F6E49">
              <w:rPr>
                <w:rFonts w:cs="Arial"/>
                <w:bCs/>
                <w:vertAlign w:val="superscript"/>
                <w:lang w:val="en-AU"/>
              </w:rPr>
              <w:t>o</w:t>
            </w:r>
            <w:r w:rsidRPr="000F6E49">
              <w:rPr>
                <w:rFonts w:cs="Arial"/>
                <w:bCs/>
                <w:lang w:val="en-AU"/>
              </w:rPr>
              <w:t>C</w:t>
            </w:r>
          </w:p>
        </w:tc>
        <w:tc>
          <w:tcPr>
            <w:tcW w:w="2126" w:type="dxa"/>
            <w:tcBorders>
              <w:bottom w:val="single" w:sz="12" w:space="0" w:color="auto"/>
              <w:right w:val="single" w:sz="12" w:space="0" w:color="auto"/>
            </w:tcBorders>
          </w:tcPr>
          <w:p w14:paraId="3D99174A" w14:textId="77777777" w:rsidR="00B50921" w:rsidRPr="000F6E49" w:rsidRDefault="00B50921" w:rsidP="00B84D10">
            <w:pPr>
              <w:jc w:val="center"/>
              <w:rPr>
                <w:rFonts w:cs="Arial"/>
                <w:bCs/>
                <w:lang w:val="en-AU"/>
              </w:rPr>
            </w:pPr>
            <w:r w:rsidRPr="000F6E49">
              <w:rPr>
                <w:rFonts w:cs="Arial"/>
                <w:bCs/>
                <w:lang w:val="en-AU"/>
              </w:rPr>
              <w:t>1 per month</w:t>
            </w:r>
          </w:p>
          <w:p w14:paraId="351F3924" w14:textId="77777777" w:rsidR="00B50921" w:rsidRPr="000F6E49" w:rsidRDefault="00B50921" w:rsidP="00B84D10">
            <w:pPr>
              <w:jc w:val="center"/>
              <w:rPr>
                <w:rFonts w:cs="Arial"/>
                <w:bCs/>
                <w:lang w:val="en-AU"/>
              </w:rPr>
            </w:pPr>
            <w:r w:rsidRPr="000F6E49">
              <w:rPr>
                <w:rFonts w:cs="Arial"/>
                <w:bCs/>
                <w:lang w:val="en-AU"/>
              </w:rPr>
              <w:t>production testing</w:t>
            </w:r>
          </w:p>
        </w:tc>
      </w:tr>
      <w:tr w:rsidR="00C8491B" w:rsidRPr="000F6E49" w14:paraId="1AA1DC6C" w14:textId="77777777" w:rsidTr="00C8491B">
        <w:trPr>
          <w:cantSplit/>
          <w:trHeight w:val="2079"/>
          <w:jc w:val="center"/>
        </w:trPr>
        <w:tc>
          <w:tcPr>
            <w:tcW w:w="8919" w:type="dxa"/>
            <w:gridSpan w:val="4"/>
            <w:tcBorders>
              <w:top w:val="single" w:sz="12" w:space="0" w:color="auto"/>
              <w:left w:val="nil"/>
              <w:bottom w:val="nil"/>
              <w:right w:val="nil"/>
            </w:tcBorders>
          </w:tcPr>
          <w:p w14:paraId="6E1F013E" w14:textId="32EB3D42" w:rsidR="00B50921" w:rsidRPr="00396873" w:rsidRDefault="00B50921" w:rsidP="00B50921">
            <w:pPr>
              <w:rPr>
                <w:rFonts w:cs="Arial"/>
                <w:b/>
                <w:bCs/>
                <w:sz w:val="18"/>
                <w:szCs w:val="18"/>
              </w:rPr>
            </w:pPr>
            <w:r w:rsidRPr="00396873">
              <w:rPr>
                <w:rFonts w:cs="Arial"/>
                <w:b/>
                <w:bCs/>
                <w:sz w:val="18"/>
                <w:szCs w:val="18"/>
              </w:rPr>
              <w:t>Notes</w:t>
            </w:r>
            <w:r w:rsidR="00396873" w:rsidRPr="00396873">
              <w:rPr>
                <w:rFonts w:cs="Arial"/>
                <w:b/>
                <w:bCs/>
                <w:sz w:val="18"/>
                <w:szCs w:val="18"/>
              </w:rPr>
              <w:t xml:space="preserve"> Table 418.031</w:t>
            </w:r>
            <w:r w:rsidRPr="00396873">
              <w:rPr>
                <w:rFonts w:cs="Arial"/>
                <w:b/>
                <w:bCs/>
                <w:sz w:val="18"/>
                <w:szCs w:val="18"/>
              </w:rPr>
              <w:t>:</w:t>
            </w:r>
          </w:p>
          <w:p w14:paraId="367F8BEE" w14:textId="4D64A9A8" w:rsidR="00B50921" w:rsidRPr="008674A0" w:rsidRDefault="00B50921" w:rsidP="00072069">
            <w:pPr>
              <w:numPr>
                <w:ilvl w:val="0"/>
                <w:numId w:val="19"/>
              </w:numPr>
              <w:spacing w:before="120"/>
              <w:ind w:left="357" w:hanging="357"/>
              <w:rPr>
                <w:rFonts w:cs="Arial"/>
                <w:sz w:val="18"/>
                <w:szCs w:val="18"/>
              </w:rPr>
            </w:pPr>
            <w:r w:rsidRPr="008674A0">
              <w:rPr>
                <w:rFonts w:cs="Arial"/>
                <w:sz w:val="18"/>
                <w:szCs w:val="18"/>
              </w:rPr>
              <w:t>This test assesses the stiffening effect of the filler on the binder-filler mastic using the softening point test</w:t>
            </w:r>
            <w:r w:rsidR="00E25FE4">
              <w:rPr>
                <w:rFonts w:cs="Arial"/>
                <w:sz w:val="18"/>
                <w:szCs w:val="18"/>
              </w:rPr>
              <w:t>.  T</w:t>
            </w:r>
            <w:r w:rsidRPr="008674A0">
              <w:rPr>
                <w:rFonts w:cs="Arial"/>
                <w:sz w:val="18"/>
                <w:szCs w:val="18"/>
              </w:rPr>
              <w:t xml:space="preserve">he asphalt supplier need not have NATA accreditation for the EN test. </w:t>
            </w:r>
          </w:p>
          <w:p w14:paraId="5627EC39" w14:textId="6DC04741" w:rsidR="00B50921" w:rsidRPr="008674A0" w:rsidRDefault="00B50921" w:rsidP="00072069">
            <w:pPr>
              <w:numPr>
                <w:ilvl w:val="0"/>
                <w:numId w:val="19"/>
              </w:numPr>
              <w:spacing w:before="120"/>
              <w:ind w:left="357" w:hanging="357"/>
              <w:rPr>
                <w:rFonts w:cs="Arial"/>
                <w:sz w:val="18"/>
                <w:szCs w:val="18"/>
              </w:rPr>
            </w:pPr>
            <w:r w:rsidRPr="008674A0">
              <w:rPr>
                <w:rFonts w:cs="Arial"/>
                <w:sz w:val="18"/>
                <w:szCs w:val="18"/>
              </w:rPr>
              <w:t xml:space="preserve">The test shall be performed on </w:t>
            </w:r>
            <w:r w:rsidR="00E25FE4">
              <w:rPr>
                <w:rFonts w:cs="Arial"/>
                <w:sz w:val="18"/>
                <w:szCs w:val="18"/>
              </w:rPr>
              <w:t xml:space="preserve">the </w:t>
            </w:r>
            <w:r w:rsidRPr="008674A0">
              <w:rPr>
                <w:rFonts w:cs="Arial"/>
                <w:sz w:val="18"/>
                <w:szCs w:val="18"/>
              </w:rPr>
              <w:t>combined material passing the 0.125 mm sieve in accordance with EN13179-1, using Class 170 bitumen instead of 70/100 grade bitumen. The softening point of the Class</w:t>
            </w:r>
            <w:r w:rsidR="00E25FE4">
              <w:rPr>
                <w:rFonts w:cs="Arial"/>
                <w:sz w:val="18"/>
                <w:szCs w:val="18"/>
              </w:rPr>
              <w:t> </w:t>
            </w:r>
            <w:r w:rsidRPr="008674A0">
              <w:rPr>
                <w:rFonts w:cs="Arial"/>
                <w:sz w:val="18"/>
                <w:szCs w:val="18"/>
              </w:rPr>
              <w:t>170 bitumen used in the test, determined in accordance with AS 2341.18, shall be between 43⁰C and 51⁰C</w:t>
            </w:r>
            <w:r w:rsidR="000F5B99" w:rsidRPr="008674A0">
              <w:rPr>
                <w:rFonts w:cs="Arial"/>
                <w:sz w:val="18"/>
                <w:szCs w:val="18"/>
              </w:rPr>
              <w:t>.</w:t>
            </w:r>
            <w:r w:rsidRPr="008674A0">
              <w:rPr>
                <w:rFonts w:cs="Arial"/>
                <w:sz w:val="18"/>
                <w:szCs w:val="18"/>
              </w:rPr>
              <w:t xml:space="preserve"> </w:t>
            </w:r>
          </w:p>
          <w:p w14:paraId="549E1A7A" w14:textId="445606C6" w:rsidR="00B50921" w:rsidRPr="008674A0" w:rsidRDefault="00A64B64" w:rsidP="00072069">
            <w:pPr>
              <w:numPr>
                <w:ilvl w:val="0"/>
                <w:numId w:val="19"/>
              </w:numPr>
              <w:spacing w:before="120"/>
              <w:ind w:left="357" w:hanging="357"/>
              <w:rPr>
                <w:rFonts w:cs="Arial"/>
                <w:sz w:val="18"/>
                <w:szCs w:val="18"/>
              </w:rPr>
            </w:pPr>
            <w:r w:rsidRPr="008674A0">
              <w:rPr>
                <w:rFonts w:cs="Arial"/>
                <w:sz w:val="18"/>
                <w:szCs w:val="18"/>
              </w:rPr>
              <w:t xml:space="preserve">Additional </w:t>
            </w:r>
            <w:r w:rsidR="00B50921" w:rsidRPr="008674A0">
              <w:rPr>
                <w:rFonts w:cs="Arial"/>
                <w:sz w:val="18"/>
                <w:szCs w:val="18"/>
              </w:rPr>
              <w:t>details on sample preparation are provided in</w:t>
            </w:r>
            <w:r w:rsidR="00D1239B">
              <w:rPr>
                <w:rFonts w:cs="Arial"/>
                <w:sz w:val="18"/>
                <w:szCs w:val="18"/>
              </w:rPr>
              <w:t xml:space="preserve"> </w:t>
            </w:r>
            <w:proofErr w:type="spellStart"/>
            <w:r w:rsidR="00D1239B">
              <w:rPr>
                <w:rFonts w:cs="Arial"/>
                <w:sz w:val="18"/>
                <w:szCs w:val="18"/>
              </w:rPr>
              <w:t>Austroads</w:t>
            </w:r>
            <w:proofErr w:type="spellEnd"/>
            <w:r w:rsidR="00D1239B">
              <w:rPr>
                <w:rFonts w:cs="Arial"/>
                <w:sz w:val="18"/>
                <w:szCs w:val="18"/>
              </w:rPr>
              <w:t xml:space="preserve"> Report</w:t>
            </w:r>
            <w:r w:rsidR="00B50921" w:rsidRPr="008674A0">
              <w:rPr>
                <w:rFonts w:cs="Arial"/>
                <w:sz w:val="18"/>
                <w:szCs w:val="18"/>
              </w:rPr>
              <w:t xml:space="preserve"> AP-T219.</w:t>
            </w:r>
          </w:p>
          <w:p w14:paraId="506A9702" w14:textId="77777777" w:rsidR="00B50921" w:rsidRPr="000F6E49" w:rsidRDefault="00B50921" w:rsidP="00B50921">
            <w:pPr>
              <w:rPr>
                <w:rFonts w:cs="Arial"/>
              </w:rPr>
            </w:pPr>
          </w:p>
        </w:tc>
      </w:tr>
    </w:tbl>
    <w:p w14:paraId="7034E8D7" w14:textId="47822FF0" w:rsidR="00E9621E" w:rsidRDefault="00E9621E" w:rsidP="00CA4068">
      <w:pPr>
        <w:rPr>
          <w:rFonts w:cs="Arial"/>
        </w:rPr>
      </w:pPr>
    </w:p>
    <w:p w14:paraId="6875DBA2" w14:textId="77777777" w:rsidR="00E9621E" w:rsidRDefault="00E9621E">
      <w:pPr>
        <w:widowControl/>
        <w:rPr>
          <w:rFonts w:cs="Arial"/>
        </w:rPr>
      </w:pPr>
      <w:r>
        <w:rPr>
          <w:rFonts w:cs="Arial"/>
        </w:rPr>
        <w:br w:type="page"/>
      </w:r>
    </w:p>
    <w:p w14:paraId="5EC4390A" w14:textId="77777777" w:rsidR="000F120F" w:rsidRPr="000F6E49" w:rsidRDefault="000F120F" w:rsidP="00CA4068">
      <w:pPr>
        <w:rPr>
          <w:rFonts w:cs="Arial"/>
        </w:rPr>
      </w:pPr>
    </w:p>
    <w:p w14:paraId="28CD2EB1" w14:textId="155F4544" w:rsidR="000F120F" w:rsidRPr="000F6E49" w:rsidRDefault="000F120F" w:rsidP="00CA4068">
      <w:pPr>
        <w:pStyle w:val="Heading3SS"/>
      </w:pPr>
      <w:r w:rsidRPr="000F6E49">
        <w:t>418.0</w:t>
      </w:r>
      <w:r w:rsidR="008B6E66" w:rsidRPr="000F6E49">
        <w:t>4</w:t>
      </w:r>
      <w:r w:rsidRPr="000F6E49">
        <w:tab/>
        <w:t>BINDER</w:t>
      </w:r>
    </w:p>
    <w:p w14:paraId="62851204" w14:textId="1DBCAD62" w:rsidR="000F120F" w:rsidRPr="000F6E49" w:rsidRDefault="00B27D20" w:rsidP="00D2748F">
      <w:pPr>
        <w:spacing w:before="200"/>
        <w:rPr>
          <w:rFonts w:cs="Arial"/>
        </w:rPr>
      </w:pPr>
      <w:r w:rsidRPr="000F6E49">
        <w:rPr>
          <w:rFonts w:cs="Arial"/>
        </w:rPr>
        <w:t>T</w:t>
      </w:r>
      <w:r w:rsidR="000F120F" w:rsidRPr="000F6E49">
        <w:rPr>
          <w:rFonts w:cs="Arial"/>
        </w:rPr>
        <w:t xml:space="preserve">he binder used in EME2 shall be </w:t>
      </w:r>
      <w:r w:rsidR="00061A39" w:rsidRPr="000F6E49">
        <w:rPr>
          <w:rFonts w:cs="Arial"/>
        </w:rPr>
        <w:t xml:space="preserve">10/20 or </w:t>
      </w:r>
      <w:r w:rsidR="000F120F" w:rsidRPr="000F6E49">
        <w:rPr>
          <w:rFonts w:cs="Arial"/>
        </w:rPr>
        <w:t>15/25 penetration grade binder, as specified in Table</w:t>
      </w:r>
      <w:r w:rsidR="00BB1263" w:rsidRPr="000F6E49">
        <w:rPr>
          <w:rFonts w:cs="Arial"/>
        </w:rPr>
        <w:t> </w:t>
      </w:r>
      <w:r w:rsidR="000F120F" w:rsidRPr="000F6E49">
        <w:rPr>
          <w:rFonts w:cs="Arial"/>
        </w:rPr>
        <w:t>418.0</w:t>
      </w:r>
      <w:r w:rsidR="00C8491B" w:rsidRPr="000F6E49">
        <w:rPr>
          <w:rFonts w:cs="Arial"/>
        </w:rPr>
        <w:t>41</w:t>
      </w:r>
      <w:r w:rsidR="000F120F" w:rsidRPr="000F6E49">
        <w:rPr>
          <w:rFonts w:cs="Arial"/>
        </w:rPr>
        <w:t>.</w:t>
      </w:r>
    </w:p>
    <w:p w14:paraId="6A563556" w14:textId="0EC041BA" w:rsidR="00C8491B" w:rsidRPr="000F6E49" w:rsidRDefault="00C8491B" w:rsidP="00B84D10">
      <w:pPr>
        <w:spacing w:before="160" w:after="60"/>
        <w:rPr>
          <w:rFonts w:cs="Arial"/>
          <w:b/>
        </w:rPr>
      </w:pPr>
      <w:r w:rsidRPr="000F6E49">
        <w:rPr>
          <w:rFonts w:cs="Arial"/>
          <w:b/>
        </w:rPr>
        <w:t>Table 418.041 Binder Requirements</w:t>
      </w:r>
    </w:p>
    <w:tbl>
      <w:tblPr>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85" w:type="dxa"/>
          <w:bottom w:w="57" w:type="dxa"/>
          <w:right w:w="85" w:type="dxa"/>
        </w:tblCellMar>
        <w:tblLook w:val="04A0" w:firstRow="1" w:lastRow="0" w:firstColumn="1" w:lastColumn="0" w:noHBand="0" w:noVBand="1"/>
      </w:tblPr>
      <w:tblGrid>
        <w:gridCol w:w="3275"/>
        <w:gridCol w:w="2409"/>
        <w:gridCol w:w="1985"/>
        <w:gridCol w:w="1947"/>
      </w:tblGrid>
      <w:tr w:rsidR="00E9621E" w:rsidRPr="000F6E49" w14:paraId="44933775" w14:textId="77777777" w:rsidTr="00121683">
        <w:trPr>
          <w:jc w:val="center"/>
        </w:trPr>
        <w:tc>
          <w:tcPr>
            <w:tcW w:w="3275" w:type="dxa"/>
            <w:vMerge w:val="restart"/>
            <w:tcBorders>
              <w:top w:val="single" w:sz="12" w:space="0" w:color="auto"/>
              <w:left w:val="single" w:sz="12" w:space="0" w:color="auto"/>
            </w:tcBorders>
            <w:vAlign w:val="center"/>
          </w:tcPr>
          <w:p w14:paraId="62B66564" w14:textId="41115579" w:rsidR="00E9621E" w:rsidRPr="000F6E49" w:rsidRDefault="00E9621E" w:rsidP="00E9621E">
            <w:pPr>
              <w:jc w:val="center"/>
              <w:rPr>
                <w:rFonts w:cs="Arial"/>
                <w:b/>
              </w:rPr>
            </w:pPr>
            <w:r w:rsidRPr="000F6E49">
              <w:rPr>
                <w:rFonts w:cs="Arial"/>
                <w:b/>
              </w:rPr>
              <w:t>Material Property</w:t>
            </w:r>
          </w:p>
        </w:tc>
        <w:tc>
          <w:tcPr>
            <w:tcW w:w="2409" w:type="dxa"/>
            <w:vMerge w:val="restart"/>
            <w:tcBorders>
              <w:top w:val="single" w:sz="12" w:space="0" w:color="auto"/>
            </w:tcBorders>
            <w:vAlign w:val="center"/>
          </w:tcPr>
          <w:p w14:paraId="0A5C8D17" w14:textId="34EE1861" w:rsidR="00E9621E" w:rsidRPr="000F6E49" w:rsidRDefault="00E9621E" w:rsidP="00E9621E">
            <w:pPr>
              <w:jc w:val="center"/>
              <w:rPr>
                <w:rFonts w:cs="Arial"/>
                <w:b/>
              </w:rPr>
            </w:pPr>
            <w:r w:rsidRPr="000F6E49">
              <w:rPr>
                <w:rFonts w:cs="Arial"/>
                <w:b/>
              </w:rPr>
              <w:t>Test Method</w:t>
            </w:r>
          </w:p>
        </w:tc>
        <w:tc>
          <w:tcPr>
            <w:tcW w:w="3932" w:type="dxa"/>
            <w:gridSpan w:val="2"/>
            <w:tcBorders>
              <w:top w:val="single" w:sz="12" w:space="0" w:color="auto"/>
              <w:bottom w:val="single" w:sz="12" w:space="0" w:color="auto"/>
              <w:right w:val="single" w:sz="12" w:space="0" w:color="auto"/>
            </w:tcBorders>
          </w:tcPr>
          <w:p w14:paraId="00151A01" w14:textId="55A8A544" w:rsidR="00E9621E" w:rsidRPr="000F6E49" w:rsidRDefault="00E9621E" w:rsidP="00E9621E">
            <w:pPr>
              <w:jc w:val="center"/>
              <w:rPr>
                <w:rFonts w:cs="Arial"/>
                <w:b/>
              </w:rPr>
            </w:pPr>
            <w:r>
              <w:rPr>
                <w:rFonts w:cs="Arial"/>
                <w:b/>
              </w:rPr>
              <w:t>Penetration Grade Binder</w:t>
            </w:r>
          </w:p>
        </w:tc>
      </w:tr>
      <w:tr w:rsidR="00E9621E" w:rsidRPr="000F6E49" w14:paraId="06F44757" w14:textId="77777777" w:rsidTr="00461FD9">
        <w:trPr>
          <w:jc w:val="center"/>
        </w:trPr>
        <w:tc>
          <w:tcPr>
            <w:tcW w:w="3275" w:type="dxa"/>
            <w:vMerge/>
            <w:tcBorders>
              <w:left w:val="single" w:sz="12" w:space="0" w:color="auto"/>
              <w:bottom w:val="single" w:sz="12" w:space="0" w:color="auto"/>
            </w:tcBorders>
            <w:vAlign w:val="center"/>
          </w:tcPr>
          <w:p w14:paraId="08490667" w14:textId="055FA388" w:rsidR="00E9621E" w:rsidRPr="000F6E49" w:rsidRDefault="00E9621E" w:rsidP="00E9621E">
            <w:pPr>
              <w:jc w:val="center"/>
              <w:rPr>
                <w:rFonts w:cs="Arial"/>
                <w:b/>
              </w:rPr>
            </w:pPr>
          </w:p>
        </w:tc>
        <w:tc>
          <w:tcPr>
            <w:tcW w:w="2409" w:type="dxa"/>
            <w:vMerge/>
            <w:tcBorders>
              <w:bottom w:val="single" w:sz="12" w:space="0" w:color="auto"/>
            </w:tcBorders>
            <w:vAlign w:val="center"/>
          </w:tcPr>
          <w:p w14:paraId="74874EF1" w14:textId="5C1F3982" w:rsidR="00E9621E" w:rsidRPr="000F6E49" w:rsidRDefault="00E9621E" w:rsidP="00E9621E">
            <w:pPr>
              <w:jc w:val="center"/>
              <w:rPr>
                <w:rFonts w:cs="Arial"/>
                <w:b/>
              </w:rPr>
            </w:pPr>
          </w:p>
        </w:tc>
        <w:tc>
          <w:tcPr>
            <w:tcW w:w="1985" w:type="dxa"/>
            <w:tcBorders>
              <w:top w:val="single" w:sz="12" w:space="0" w:color="auto"/>
              <w:bottom w:val="single" w:sz="12" w:space="0" w:color="auto"/>
            </w:tcBorders>
          </w:tcPr>
          <w:p w14:paraId="05EC763B" w14:textId="77777777" w:rsidR="00E9621E" w:rsidRPr="000F6E49" w:rsidRDefault="00E9621E" w:rsidP="00E9621E">
            <w:pPr>
              <w:jc w:val="center"/>
              <w:rPr>
                <w:rFonts w:cs="Arial"/>
                <w:b/>
              </w:rPr>
            </w:pPr>
            <w:r w:rsidRPr="000F6E49">
              <w:rPr>
                <w:rFonts w:cs="Arial"/>
                <w:b/>
              </w:rPr>
              <w:t>10/20</w:t>
            </w:r>
          </w:p>
        </w:tc>
        <w:tc>
          <w:tcPr>
            <w:tcW w:w="1947" w:type="dxa"/>
            <w:tcBorders>
              <w:top w:val="single" w:sz="12" w:space="0" w:color="auto"/>
              <w:bottom w:val="single" w:sz="12" w:space="0" w:color="auto"/>
              <w:right w:val="single" w:sz="12" w:space="0" w:color="auto"/>
            </w:tcBorders>
            <w:vAlign w:val="center"/>
          </w:tcPr>
          <w:p w14:paraId="5B806084" w14:textId="77777777" w:rsidR="00E9621E" w:rsidRPr="000F6E49" w:rsidRDefault="00E9621E" w:rsidP="00E9621E">
            <w:pPr>
              <w:jc w:val="center"/>
              <w:rPr>
                <w:rFonts w:cs="Arial"/>
                <w:b/>
              </w:rPr>
            </w:pPr>
            <w:r w:rsidRPr="000F6E49">
              <w:rPr>
                <w:rFonts w:cs="Arial"/>
                <w:b/>
              </w:rPr>
              <w:t>15/25</w:t>
            </w:r>
          </w:p>
        </w:tc>
      </w:tr>
      <w:tr w:rsidR="00E9621E" w:rsidRPr="000F6E49" w14:paraId="5B6709B6" w14:textId="77777777" w:rsidTr="00CD27B0">
        <w:trPr>
          <w:jc w:val="center"/>
        </w:trPr>
        <w:tc>
          <w:tcPr>
            <w:tcW w:w="3275" w:type="dxa"/>
            <w:tcBorders>
              <w:top w:val="single" w:sz="12" w:space="0" w:color="auto"/>
              <w:left w:val="single" w:sz="12" w:space="0" w:color="auto"/>
            </w:tcBorders>
          </w:tcPr>
          <w:p w14:paraId="0F239D10" w14:textId="030E373F" w:rsidR="00E9621E" w:rsidRPr="000F6E49" w:rsidRDefault="00E9621E" w:rsidP="00E9621E">
            <w:pPr>
              <w:rPr>
                <w:rFonts w:cs="Arial"/>
              </w:rPr>
            </w:pPr>
            <w:r w:rsidRPr="000F6E49">
              <w:rPr>
                <w:rFonts w:cs="Arial"/>
              </w:rPr>
              <w:t>Penetration at 25°</w:t>
            </w:r>
            <w:r w:rsidR="005D79DE" w:rsidRPr="000F6E49">
              <w:rPr>
                <w:rFonts w:cs="Arial"/>
              </w:rPr>
              <w:t>C (</w:t>
            </w:r>
            <w:r w:rsidRPr="000F6E49">
              <w:rPr>
                <w:rFonts w:cs="Arial"/>
              </w:rPr>
              <w:t>100g 5s)</w:t>
            </w:r>
          </w:p>
        </w:tc>
        <w:tc>
          <w:tcPr>
            <w:tcW w:w="2409" w:type="dxa"/>
            <w:tcBorders>
              <w:top w:val="single" w:sz="12" w:space="0" w:color="auto"/>
            </w:tcBorders>
          </w:tcPr>
          <w:p w14:paraId="644D3970" w14:textId="77777777" w:rsidR="00E9621E" w:rsidRPr="000F6E49" w:rsidRDefault="00E9621E" w:rsidP="00B84D10">
            <w:pPr>
              <w:jc w:val="center"/>
              <w:rPr>
                <w:rFonts w:cs="Arial"/>
              </w:rPr>
            </w:pPr>
            <w:r w:rsidRPr="000F6E49">
              <w:rPr>
                <w:rFonts w:cs="Arial"/>
              </w:rPr>
              <w:t>AS 2341.12</w:t>
            </w:r>
          </w:p>
        </w:tc>
        <w:tc>
          <w:tcPr>
            <w:tcW w:w="1985" w:type="dxa"/>
            <w:tcBorders>
              <w:top w:val="single" w:sz="12" w:space="0" w:color="auto"/>
              <w:right w:val="single" w:sz="12" w:space="0" w:color="auto"/>
            </w:tcBorders>
          </w:tcPr>
          <w:p w14:paraId="01A17A99" w14:textId="77777777" w:rsidR="00E9621E" w:rsidRPr="000F6E49" w:rsidRDefault="00E9621E" w:rsidP="00B84D10">
            <w:pPr>
              <w:jc w:val="center"/>
              <w:rPr>
                <w:rFonts w:cs="Arial"/>
              </w:rPr>
            </w:pPr>
            <w:r w:rsidRPr="000F6E49">
              <w:rPr>
                <w:rFonts w:cs="Arial"/>
              </w:rPr>
              <w:t>Min 10pu</w:t>
            </w:r>
            <w:r w:rsidRPr="000F6E49">
              <w:rPr>
                <w:rFonts w:cs="Arial"/>
                <w:b/>
              </w:rPr>
              <w:t xml:space="preserve"> </w:t>
            </w:r>
            <w:r w:rsidRPr="000F6E49">
              <w:rPr>
                <w:rFonts w:cs="Arial"/>
                <w:b/>
                <w:sz w:val="22"/>
                <w:szCs w:val="22"/>
                <w:vertAlign w:val="superscript"/>
              </w:rPr>
              <w:t>(1)</w:t>
            </w:r>
          </w:p>
          <w:p w14:paraId="2AE8EB31" w14:textId="77777777" w:rsidR="00E9621E" w:rsidRPr="000F6E49" w:rsidRDefault="00E9621E" w:rsidP="00B84D10">
            <w:pPr>
              <w:jc w:val="center"/>
              <w:rPr>
                <w:rFonts w:cs="Arial"/>
              </w:rPr>
            </w:pPr>
            <w:r w:rsidRPr="000F6E49">
              <w:rPr>
                <w:rFonts w:cs="Arial"/>
              </w:rPr>
              <w:t>Max 20pu</w:t>
            </w:r>
          </w:p>
        </w:tc>
        <w:tc>
          <w:tcPr>
            <w:tcW w:w="1947" w:type="dxa"/>
            <w:tcBorders>
              <w:top w:val="single" w:sz="12" w:space="0" w:color="auto"/>
              <w:right w:val="single" w:sz="12" w:space="0" w:color="auto"/>
            </w:tcBorders>
          </w:tcPr>
          <w:p w14:paraId="449385B4" w14:textId="77777777" w:rsidR="00E9621E" w:rsidRPr="000F6E49" w:rsidRDefault="00E9621E" w:rsidP="00B84D10">
            <w:pPr>
              <w:jc w:val="center"/>
              <w:rPr>
                <w:rFonts w:cs="Arial"/>
              </w:rPr>
            </w:pPr>
            <w:r w:rsidRPr="000F6E49">
              <w:rPr>
                <w:rFonts w:cs="Arial"/>
              </w:rPr>
              <w:t>Min 15pu</w:t>
            </w:r>
            <w:r w:rsidRPr="000F6E49">
              <w:rPr>
                <w:rFonts w:cs="Arial"/>
                <w:b/>
              </w:rPr>
              <w:t xml:space="preserve"> </w:t>
            </w:r>
            <w:r w:rsidRPr="000F6E49">
              <w:rPr>
                <w:rFonts w:cs="Arial"/>
                <w:b/>
                <w:sz w:val="22"/>
                <w:szCs w:val="22"/>
                <w:vertAlign w:val="superscript"/>
              </w:rPr>
              <w:t>(1)</w:t>
            </w:r>
          </w:p>
          <w:p w14:paraId="6A7D13A1" w14:textId="77777777" w:rsidR="00E9621E" w:rsidRPr="000F6E49" w:rsidRDefault="00E9621E" w:rsidP="00B84D10">
            <w:pPr>
              <w:jc w:val="center"/>
              <w:rPr>
                <w:rFonts w:cs="Arial"/>
              </w:rPr>
            </w:pPr>
            <w:r w:rsidRPr="000F6E49">
              <w:rPr>
                <w:rFonts w:cs="Arial"/>
              </w:rPr>
              <w:t>Max 25pu</w:t>
            </w:r>
          </w:p>
        </w:tc>
      </w:tr>
      <w:tr w:rsidR="00E9621E" w:rsidRPr="000F6E49" w14:paraId="4436FB20" w14:textId="77777777" w:rsidTr="00CD27B0">
        <w:trPr>
          <w:jc w:val="center"/>
        </w:trPr>
        <w:tc>
          <w:tcPr>
            <w:tcW w:w="3275" w:type="dxa"/>
            <w:tcBorders>
              <w:left w:val="single" w:sz="12" w:space="0" w:color="auto"/>
            </w:tcBorders>
          </w:tcPr>
          <w:p w14:paraId="1AEC7F7C" w14:textId="77777777" w:rsidR="00E9621E" w:rsidRPr="000F6E49" w:rsidRDefault="00E9621E" w:rsidP="00E9621E">
            <w:pPr>
              <w:rPr>
                <w:rFonts w:cs="Arial"/>
              </w:rPr>
            </w:pPr>
            <w:r w:rsidRPr="000F6E49">
              <w:rPr>
                <w:rFonts w:cs="Arial"/>
              </w:rPr>
              <w:t>Softening Point</w:t>
            </w:r>
          </w:p>
        </w:tc>
        <w:tc>
          <w:tcPr>
            <w:tcW w:w="2409" w:type="dxa"/>
          </w:tcPr>
          <w:p w14:paraId="7DE36EE4" w14:textId="77777777" w:rsidR="00E9621E" w:rsidRPr="000F6E49" w:rsidRDefault="00E9621E" w:rsidP="00B84D10">
            <w:pPr>
              <w:jc w:val="center"/>
              <w:rPr>
                <w:rFonts w:cs="Arial"/>
              </w:rPr>
            </w:pPr>
            <w:r w:rsidRPr="000F6E49">
              <w:rPr>
                <w:rFonts w:cs="Arial"/>
              </w:rPr>
              <w:t>AS 2341.18</w:t>
            </w:r>
          </w:p>
        </w:tc>
        <w:tc>
          <w:tcPr>
            <w:tcW w:w="1985" w:type="dxa"/>
            <w:tcBorders>
              <w:right w:val="single" w:sz="12" w:space="0" w:color="auto"/>
            </w:tcBorders>
          </w:tcPr>
          <w:p w14:paraId="19221F89" w14:textId="77777777" w:rsidR="00E9621E" w:rsidRPr="000F6E49" w:rsidRDefault="00E9621E" w:rsidP="00B84D10">
            <w:pPr>
              <w:jc w:val="center"/>
              <w:rPr>
                <w:rFonts w:cs="Arial"/>
              </w:rPr>
            </w:pPr>
            <w:r w:rsidRPr="000F6E49">
              <w:rPr>
                <w:rFonts w:cs="Arial"/>
              </w:rPr>
              <w:t>Min 59</w:t>
            </w:r>
            <w:r w:rsidRPr="000F6E49">
              <w:rPr>
                <w:rFonts w:cs="Arial"/>
                <w:vertAlign w:val="superscript"/>
              </w:rPr>
              <w:t>o</w:t>
            </w:r>
            <w:r w:rsidRPr="000F6E49">
              <w:rPr>
                <w:rFonts w:cs="Arial"/>
              </w:rPr>
              <w:t>C</w:t>
            </w:r>
          </w:p>
          <w:p w14:paraId="4D20843D" w14:textId="77777777" w:rsidR="00E9621E" w:rsidRPr="000F6E49" w:rsidRDefault="00E9621E" w:rsidP="00B84D10">
            <w:pPr>
              <w:jc w:val="center"/>
              <w:rPr>
                <w:rFonts w:cs="Arial"/>
              </w:rPr>
            </w:pPr>
            <w:r w:rsidRPr="000F6E49">
              <w:rPr>
                <w:rFonts w:cs="Arial"/>
              </w:rPr>
              <w:t>Max 79</w:t>
            </w:r>
            <w:r w:rsidRPr="000F6E49">
              <w:rPr>
                <w:rFonts w:cs="Arial"/>
                <w:vertAlign w:val="superscript"/>
              </w:rPr>
              <w:t>o</w:t>
            </w:r>
            <w:r w:rsidRPr="000F6E49">
              <w:rPr>
                <w:rFonts w:cs="Arial"/>
              </w:rPr>
              <w:t>C</w:t>
            </w:r>
          </w:p>
        </w:tc>
        <w:tc>
          <w:tcPr>
            <w:tcW w:w="1947" w:type="dxa"/>
            <w:tcBorders>
              <w:right w:val="single" w:sz="12" w:space="0" w:color="auto"/>
            </w:tcBorders>
          </w:tcPr>
          <w:p w14:paraId="737DFE36" w14:textId="77777777" w:rsidR="00E9621E" w:rsidRPr="000F6E49" w:rsidRDefault="00E9621E" w:rsidP="00B84D10">
            <w:pPr>
              <w:jc w:val="center"/>
              <w:rPr>
                <w:rFonts w:cs="Arial"/>
              </w:rPr>
            </w:pPr>
            <w:r w:rsidRPr="000F6E49">
              <w:rPr>
                <w:rFonts w:cs="Arial"/>
              </w:rPr>
              <w:t>Min 56</w:t>
            </w:r>
            <w:r w:rsidRPr="000F6E49">
              <w:rPr>
                <w:rFonts w:cs="Arial"/>
                <w:vertAlign w:val="superscript"/>
              </w:rPr>
              <w:t>o</w:t>
            </w:r>
            <w:r w:rsidRPr="000F6E49">
              <w:rPr>
                <w:rFonts w:cs="Arial"/>
              </w:rPr>
              <w:t>C</w:t>
            </w:r>
          </w:p>
          <w:p w14:paraId="438E4698" w14:textId="77777777" w:rsidR="00E9621E" w:rsidRPr="000F6E49" w:rsidRDefault="00E9621E" w:rsidP="00B84D10">
            <w:pPr>
              <w:jc w:val="center"/>
              <w:rPr>
                <w:rFonts w:cs="Arial"/>
              </w:rPr>
            </w:pPr>
            <w:r w:rsidRPr="000F6E49">
              <w:rPr>
                <w:rFonts w:cs="Arial"/>
              </w:rPr>
              <w:t>Max 72</w:t>
            </w:r>
            <w:r w:rsidRPr="000F6E49">
              <w:rPr>
                <w:rFonts w:cs="Arial"/>
                <w:vertAlign w:val="superscript"/>
              </w:rPr>
              <w:t>o</w:t>
            </w:r>
            <w:r w:rsidRPr="000F6E49">
              <w:rPr>
                <w:rFonts w:cs="Arial"/>
              </w:rPr>
              <w:t>C</w:t>
            </w:r>
          </w:p>
        </w:tc>
      </w:tr>
      <w:tr w:rsidR="00E9621E" w:rsidRPr="000F6E49" w14:paraId="445A2485" w14:textId="77777777" w:rsidTr="00CD27B0">
        <w:trPr>
          <w:jc w:val="center"/>
        </w:trPr>
        <w:tc>
          <w:tcPr>
            <w:tcW w:w="3275" w:type="dxa"/>
            <w:tcBorders>
              <w:left w:val="single" w:sz="12" w:space="0" w:color="auto"/>
            </w:tcBorders>
          </w:tcPr>
          <w:p w14:paraId="0C4CE686" w14:textId="77777777" w:rsidR="00E9621E" w:rsidRPr="000F6E49" w:rsidRDefault="00E9621E" w:rsidP="00E9621E">
            <w:pPr>
              <w:rPr>
                <w:rFonts w:cs="Arial"/>
              </w:rPr>
            </w:pPr>
            <w:r w:rsidRPr="000F6E49">
              <w:rPr>
                <w:rFonts w:cs="Arial"/>
              </w:rPr>
              <w:t>Mass Change</w:t>
            </w:r>
          </w:p>
        </w:tc>
        <w:tc>
          <w:tcPr>
            <w:tcW w:w="2409" w:type="dxa"/>
          </w:tcPr>
          <w:p w14:paraId="7D346BBB" w14:textId="77777777" w:rsidR="00E9621E" w:rsidRPr="000F6E49" w:rsidRDefault="00E9621E" w:rsidP="00B84D10">
            <w:pPr>
              <w:jc w:val="center"/>
              <w:rPr>
                <w:rFonts w:cs="Arial"/>
              </w:rPr>
            </w:pPr>
            <w:r w:rsidRPr="000F6E49">
              <w:rPr>
                <w:rFonts w:cs="Arial"/>
              </w:rPr>
              <w:t>AS/NZS 2341.10</w:t>
            </w:r>
          </w:p>
        </w:tc>
        <w:tc>
          <w:tcPr>
            <w:tcW w:w="1985" w:type="dxa"/>
            <w:tcBorders>
              <w:right w:val="single" w:sz="12" w:space="0" w:color="auto"/>
            </w:tcBorders>
          </w:tcPr>
          <w:p w14:paraId="5F15E8F5" w14:textId="00C64BCA" w:rsidR="00E9621E" w:rsidRPr="000F6E49" w:rsidRDefault="00570E68" w:rsidP="00B84D10">
            <w:pPr>
              <w:jc w:val="center"/>
              <w:rPr>
                <w:rFonts w:cs="Arial"/>
                <w:u w:val="single"/>
              </w:rPr>
            </w:pPr>
            <w:r w:rsidRPr="000F6E49">
              <w:rPr>
                <w:rFonts w:cs="Arial"/>
              </w:rPr>
              <w:t>-</w:t>
            </w:r>
          </w:p>
        </w:tc>
        <w:tc>
          <w:tcPr>
            <w:tcW w:w="1947" w:type="dxa"/>
            <w:tcBorders>
              <w:right w:val="single" w:sz="12" w:space="0" w:color="auto"/>
            </w:tcBorders>
          </w:tcPr>
          <w:p w14:paraId="6696DAF0" w14:textId="77777777" w:rsidR="00E9621E" w:rsidRPr="000F6E49" w:rsidRDefault="00E9621E" w:rsidP="00B84D10">
            <w:pPr>
              <w:jc w:val="center"/>
              <w:rPr>
                <w:rFonts w:cs="Arial"/>
              </w:rPr>
            </w:pPr>
            <w:r w:rsidRPr="000F6E49">
              <w:rPr>
                <w:rFonts w:cs="Arial"/>
                <w:u w:val="single"/>
              </w:rPr>
              <w:t>+</w:t>
            </w:r>
            <w:r w:rsidRPr="000F6E49">
              <w:rPr>
                <w:rFonts w:cs="Arial"/>
              </w:rPr>
              <w:t xml:space="preserve"> 0.5%</w:t>
            </w:r>
          </w:p>
        </w:tc>
      </w:tr>
      <w:tr w:rsidR="00E9621E" w:rsidRPr="000F6E49" w14:paraId="7F3AB9A9" w14:textId="77777777" w:rsidTr="00CD27B0">
        <w:trPr>
          <w:jc w:val="center"/>
        </w:trPr>
        <w:tc>
          <w:tcPr>
            <w:tcW w:w="3275" w:type="dxa"/>
            <w:tcBorders>
              <w:left w:val="single" w:sz="12" w:space="0" w:color="auto"/>
            </w:tcBorders>
          </w:tcPr>
          <w:p w14:paraId="5137DB68" w14:textId="77777777" w:rsidR="00E9621E" w:rsidRPr="000F6E49" w:rsidRDefault="00E9621E" w:rsidP="00E9621E">
            <w:pPr>
              <w:rPr>
                <w:rFonts w:cs="Arial"/>
              </w:rPr>
            </w:pPr>
            <w:r w:rsidRPr="000F6E49">
              <w:rPr>
                <w:rFonts w:cs="Arial"/>
              </w:rPr>
              <w:t>Retained Penetration</w:t>
            </w:r>
            <w:r w:rsidRPr="000F6E49">
              <w:rPr>
                <w:rFonts w:cs="Arial"/>
                <w:b/>
                <w:szCs w:val="26"/>
                <w:vertAlign w:val="superscript"/>
              </w:rPr>
              <w:t xml:space="preserve"> </w:t>
            </w:r>
            <w:r w:rsidRPr="000F6E49">
              <w:rPr>
                <w:rFonts w:cs="Arial"/>
                <w:b/>
                <w:sz w:val="22"/>
                <w:szCs w:val="22"/>
                <w:vertAlign w:val="superscript"/>
              </w:rPr>
              <w:t>(2)</w:t>
            </w:r>
          </w:p>
        </w:tc>
        <w:tc>
          <w:tcPr>
            <w:tcW w:w="2409" w:type="dxa"/>
          </w:tcPr>
          <w:p w14:paraId="66E8FD7F" w14:textId="77777777" w:rsidR="00E9621E" w:rsidRPr="000F6E49" w:rsidRDefault="00E9621E" w:rsidP="00B84D10">
            <w:pPr>
              <w:jc w:val="center"/>
              <w:rPr>
                <w:rFonts w:cs="Arial"/>
              </w:rPr>
            </w:pPr>
            <w:r w:rsidRPr="000F6E49">
              <w:rPr>
                <w:rFonts w:cs="Arial"/>
              </w:rPr>
              <w:t>AS/NZS 2341.10 and AS 2341.12</w:t>
            </w:r>
          </w:p>
        </w:tc>
        <w:tc>
          <w:tcPr>
            <w:tcW w:w="1985" w:type="dxa"/>
            <w:tcBorders>
              <w:right w:val="single" w:sz="12" w:space="0" w:color="auto"/>
            </w:tcBorders>
          </w:tcPr>
          <w:p w14:paraId="1351CD60" w14:textId="77777777" w:rsidR="00E9621E" w:rsidRPr="000F6E49" w:rsidRDefault="00E9621E" w:rsidP="00B84D10">
            <w:pPr>
              <w:jc w:val="center"/>
              <w:rPr>
                <w:rFonts w:cs="Arial"/>
              </w:rPr>
            </w:pPr>
            <w:r w:rsidRPr="000F6E49">
              <w:rPr>
                <w:rFonts w:cs="Arial"/>
              </w:rPr>
              <w:t>-</w:t>
            </w:r>
          </w:p>
        </w:tc>
        <w:tc>
          <w:tcPr>
            <w:tcW w:w="1947" w:type="dxa"/>
            <w:tcBorders>
              <w:right w:val="single" w:sz="12" w:space="0" w:color="auto"/>
            </w:tcBorders>
          </w:tcPr>
          <w:p w14:paraId="4440A65B" w14:textId="77777777" w:rsidR="00E9621E" w:rsidRPr="000F6E49" w:rsidRDefault="00E9621E" w:rsidP="00B84D10">
            <w:pPr>
              <w:jc w:val="center"/>
              <w:rPr>
                <w:rFonts w:cs="Arial"/>
              </w:rPr>
            </w:pPr>
            <w:r w:rsidRPr="000F6E49">
              <w:rPr>
                <w:rFonts w:cs="Arial"/>
              </w:rPr>
              <w:t>Min 55%</w:t>
            </w:r>
          </w:p>
        </w:tc>
      </w:tr>
      <w:tr w:rsidR="00E9621E" w:rsidRPr="000F6E49" w14:paraId="16445732" w14:textId="77777777" w:rsidTr="00CD27B0">
        <w:trPr>
          <w:jc w:val="center"/>
        </w:trPr>
        <w:tc>
          <w:tcPr>
            <w:tcW w:w="3275" w:type="dxa"/>
            <w:tcBorders>
              <w:left w:val="single" w:sz="12" w:space="0" w:color="auto"/>
            </w:tcBorders>
          </w:tcPr>
          <w:p w14:paraId="0AF188FA" w14:textId="77777777" w:rsidR="00E9621E" w:rsidRPr="000F6E49" w:rsidRDefault="00E9621E" w:rsidP="00E9621E">
            <w:pPr>
              <w:rPr>
                <w:rFonts w:cs="Arial"/>
              </w:rPr>
            </w:pPr>
            <w:r w:rsidRPr="000F6E49">
              <w:rPr>
                <w:rFonts w:cs="Arial"/>
              </w:rPr>
              <w:t>Increase in softening point after RTFO treatment</w:t>
            </w:r>
            <w:r w:rsidRPr="000F6E49">
              <w:rPr>
                <w:rFonts w:cs="Arial"/>
                <w:b/>
                <w:szCs w:val="26"/>
                <w:vertAlign w:val="superscript"/>
              </w:rPr>
              <w:t xml:space="preserve"> </w:t>
            </w:r>
            <w:r w:rsidRPr="000F6E49">
              <w:rPr>
                <w:rFonts w:cs="Arial"/>
                <w:b/>
                <w:sz w:val="22"/>
                <w:szCs w:val="22"/>
                <w:vertAlign w:val="superscript"/>
              </w:rPr>
              <w:t>(3)</w:t>
            </w:r>
          </w:p>
        </w:tc>
        <w:tc>
          <w:tcPr>
            <w:tcW w:w="2409" w:type="dxa"/>
          </w:tcPr>
          <w:p w14:paraId="6F20869B" w14:textId="77777777" w:rsidR="00E9621E" w:rsidRPr="000F6E49" w:rsidRDefault="00E9621E" w:rsidP="00B84D10">
            <w:pPr>
              <w:jc w:val="center"/>
              <w:rPr>
                <w:rFonts w:cs="Arial"/>
              </w:rPr>
            </w:pPr>
            <w:r w:rsidRPr="000F6E49">
              <w:rPr>
                <w:rFonts w:cs="Arial"/>
              </w:rPr>
              <w:t>AS/NZS 2341.10 and AS 2341.18</w:t>
            </w:r>
          </w:p>
        </w:tc>
        <w:tc>
          <w:tcPr>
            <w:tcW w:w="1985" w:type="dxa"/>
            <w:tcBorders>
              <w:right w:val="single" w:sz="12" w:space="0" w:color="auto"/>
            </w:tcBorders>
          </w:tcPr>
          <w:p w14:paraId="4DD8D375" w14:textId="77777777" w:rsidR="00E9621E" w:rsidRPr="000F6E49" w:rsidRDefault="00E9621E" w:rsidP="00B84D10">
            <w:pPr>
              <w:jc w:val="center"/>
              <w:rPr>
                <w:rFonts w:cs="Arial"/>
              </w:rPr>
            </w:pPr>
            <w:r w:rsidRPr="000F6E49">
              <w:rPr>
                <w:rFonts w:cs="Arial"/>
              </w:rPr>
              <w:t>Max 10</w:t>
            </w:r>
            <w:r w:rsidRPr="000F6E49">
              <w:rPr>
                <w:rFonts w:cs="Arial"/>
                <w:vertAlign w:val="superscript"/>
              </w:rPr>
              <w:t>o</w:t>
            </w:r>
            <w:r w:rsidRPr="000F6E49">
              <w:rPr>
                <w:rFonts w:cs="Arial"/>
              </w:rPr>
              <w:t>C</w:t>
            </w:r>
          </w:p>
        </w:tc>
        <w:tc>
          <w:tcPr>
            <w:tcW w:w="1947" w:type="dxa"/>
            <w:tcBorders>
              <w:right w:val="single" w:sz="12" w:space="0" w:color="auto"/>
            </w:tcBorders>
          </w:tcPr>
          <w:p w14:paraId="1234FFC1" w14:textId="77777777" w:rsidR="00E9621E" w:rsidRPr="000F6E49" w:rsidRDefault="00E9621E" w:rsidP="00B84D10">
            <w:pPr>
              <w:jc w:val="center"/>
              <w:rPr>
                <w:rFonts w:cs="Arial"/>
              </w:rPr>
            </w:pPr>
            <w:r w:rsidRPr="000F6E49">
              <w:rPr>
                <w:rFonts w:cs="Arial"/>
              </w:rPr>
              <w:t>Max 8</w:t>
            </w:r>
            <w:r w:rsidRPr="000F6E49">
              <w:rPr>
                <w:rFonts w:cs="Arial"/>
                <w:vertAlign w:val="superscript"/>
              </w:rPr>
              <w:t>o</w:t>
            </w:r>
            <w:r w:rsidRPr="000F6E49">
              <w:rPr>
                <w:rFonts w:cs="Arial"/>
              </w:rPr>
              <w:t>C</w:t>
            </w:r>
          </w:p>
        </w:tc>
      </w:tr>
      <w:tr w:rsidR="00E9621E" w:rsidRPr="000F6E49" w14:paraId="7AF05E11" w14:textId="77777777" w:rsidTr="00CD27B0">
        <w:trPr>
          <w:jc w:val="center"/>
        </w:trPr>
        <w:tc>
          <w:tcPr>
            <w:tcW w:w="3275" w:type="dxa"/>
            <w:tcBorders>
              <w:left w:val="single" w:sz="12" w:space="0" w:color="auto"/>
            </w:tcBorders>
          </w:tcPr>
          <w:p w14:paraId="56D1E8F6" w14:textId="77777777" w:rsidR="00E9621E" w:rsidRPr="000F6E49" w:rsidRDefault="00E9621E" w:rsidP="00E9621E">
            <w:pPr>
              <w:rPr>
                <w:rFonts w:cs="Arial"/>
              </w:rPr>
            </w:pPr>
            <w:r w:rsidRPr="000F6E49">
              <w:rPr>
                <w:rFonts w:cs="Arial"/>
              </w:rPr>
              <w:t>Viscosity at 60°C</w:t>
            </w:r>
            <w:r w:rsidRPr="000F6E49">
              <w:rPr>
                <w:rFonts w:cs="Arial"/>
                <w:b/>
                <w:szCs w:val="26"/>
                <w:vertAlign w:val="superscript"/>
              </w:rPr>
              <w:t xml:space="preserve"> </w:t>
            </w:r>
            <w:r w:rsidRPr="000F6E49">
              <w:rPr>
                <w:rFonts w:cs="Arial"/>
                <w:b/>
                <w:sz w:val="22"/>
                <w:szCs w:val="22"/>
                <w:vertAlign w:val="superscript"/>
              </w:rPr>
              <w:t>(4)</w:t>
            </w:r>
          </w:p>
        </w:tc>
        <w:tc>
          <w:tcPr>
            <w:tcW w:w="2409" w:type="dxa"/>
          </w:tcPr>
          <w:p w14:paraId="4DE3105D" w14:textId="77777777" w:rsidR="00E9621E" w:rsidRPr="000F6E49" w:rsidRDefault="00E9621E" w:rsidP="00B84D10">
            <w:pPr>
              <w:jc w:val="center"/>
              <w:rPr>
                <w:rFonts w:cs="Arial"/>
              </w:rPr>
            </w:pPr>
            <w:r w:rsidRPr="000F6E49">
              <w:rPr>
                <w:rFonts w:cs="Arial"/>
              </w:rPr>
              <w:t>AS/NZS 2341.2</w:t>
            </w:r>
          </w:p>
        </w:tc>
        <w:tc>
          <w:tcPr>
            <w:tcW w:w="1985" w:type="dxa"/>
            <w:tcBorders>
              <w:right w:val="single" w:sz="12" w:space="0" w:color="auto"/>
            </w:tcBorders>
          </w:tcPr>
          <w:p w14:paraId="1AF7A850" w14:textId="375AAA37" w:rsidR="00E9621E" w:rsidRPr="000F6E49" w:rsidRDefault="00E9621E" w:rsidP="00B84D10">
            <w:pPr>
              <w:jc w:val="center"/>
              <w:rPr>
                <w:rFonts w:cs="Arial"/>
              </w:rPr>
            </w:pPr>
            <w:r w:rsidRPr="000F6E49">
              <w:rPr>
                <w:rFonts w:cs="Arial"/>
              </w:rPr>
              <w:t xml:space="preserve">Min 1050 </w:t>
            </w:r>
            <w:proofErr w:type="spellStart"/>
            <w:r w:rsidRPr="000F6E49">
              <w:rPr>
                <w:rFonts w:cs="Arial"/>
              </w:rPr>
              <w:t>Pa</w:t>
            </w:r>
            <w:r w:rsidR="004720DD">
              <w:rPr>
                <w:rFonts w:cs="Arial"/>
              </w:rPr>
              <w:t>.</w:t>
            </w:r>
            <w:r w:rsidRPr="000F6E49">
              <w:rPr>
                <w:rFonts w:cs="Arial"/>
              </w:rPr>
              <w:t>s</w:t>
            </w:r>
            <w:proofErr w:type="spellEnd"/>
          </w:p>
        </w:tc>
        <w:tc>
          <w:tcPr>
            <w:tcW w:w="1947" w:type="dxa"/>
            <w:tcBorders>
              <w:right w:val="single" w:sz="12" w:space="0" w:color="auto"/>
            </w:tcBorders>
          </w:tcPr>
          <w:p w14:paraId="2A00C773" w14:textId="382D479B" w:rsidR="00E9621E" w:rsidRPr="000F6E49" w:rsidRDefault="00E9621E" w:rsidP="00B84D10">
            <w:pPr>
              <w:jc w:val="center"/>
              <w:rPr>
                <w:rFonts w:cs="Arial"/>
              </w:rPr>
            </w:pPr>
            <w:r w:rsidRPr="000F6E49">
              <w:rPr>
                <w:rFonts w:cs="Arial"/>
              </w:rPr>
              <w:t xml:space="preserve">Min 900 </w:t>
            </w:r>
            <w:proofErr w:type="spellStart"/>
            <w:r w:rsidRPr="000F6E49">
              <w:rPr>
                <w:rFonts w:cs="Arial"/>
              </w:rPr>
              <w:t>Pa</w:t>
            </w:r>
            <w:r w:rsidR="004720DD">
              <w:rPr>
                <w:rFonts w:cs="Arial"/>
              </w:rPr>
              <w:t>.</w:t>
            </w:r>
            <w:r w:rsidRPr="000F6E49">
              <w:rPr>
                <w:rFonts w:cs="Arial"/>
              </w:rPr>
              <w:t>s</w:t>
            </w:r>
            <w:proofErr w:type="spellEnd"/>
          </w:p>
        </w:tc>
      </w:tr>
      <w:tr w:rsidR="00E9621E" w:rsidRPr="000F6E49" w14:paraId="4EEEF659" w14:textId="77777777" w:rsidTr="00CD27B0">
        <w:trPr>
          <w:jc w:val="center"/>
        </w:trPr>
        <w:tc>
          <w:tcPr>
            <w:tcW w:w="3275" w:type="dxa"/>
            <w:tcBorders>
              <w:left w:val="single" w:sz="12" w:space="0" w:color="auto"/>
            </w:tcBorders>
          </w:tcPr>
          <w:p w14:paraId="7255A377" w14:textId="77777777" w:rsidR="00E9621E" w:rsidRPr="000F6E49" w:rsidRDefault="00E9621E" w:rsidP="00E9621E">
            <w:pPr>
              <w:rPr>
                <w:rFonts w:cs="Arial"/>
              </w:rPr>
            </w:pPr>
            <w:r w:rsidRPr="000F6E49">
              <w:rPr>
                <w:rFonts w:cs="Arial"/>
              </w:rPr>
              <w:t>Viscosity at 135°C</w:t>
            </w:r>
          </w:p>
        </w:tc>
        <w:tc>
          <w:tcPr>
            <w:tcW w:w="2409" w:type="dxa"/>
          </w:tcPr>
          <w:p w14:paraId="5A6CFEA5" w14:textId="77777777" w:rsidR="00E9621E" w:rsidRPr="000F6E49" w:rsidRDefault="00E9621E" w:rsidP="00B84D10">
            <w:pPr>
              <w:jc w:val="center"/>
              <w:rPr>
                <w:rFonts w:cs="Arial"/>
              </w:rPr>
            </w:pPr>
            <w:r w:rsidRPr="000F6E49">
              <w:rPr>
                <w:rFonts w:cs="Arial"/>
              </w:rPr>
              <w:t>AS 2341.3 or AS 2341.4</w:t>
            </w:r>
          </w:p>
        </w:tc>
        <w:tc>
          <w:tcPr>
            <w:tcW w:w="1985" w:type="dxa"/>
            <w:tcBorders>
              <w:right w:val="single" w:sz="12" w:space="0" w:color="auto"/>
            </w:tcBorders>
          </w:tcPr>
          <w:p w14:paraId="2271E7DE" w14:textId="35F9B635" w:rsidR="00E9621E" w:rsidRPr="000F6E49" w:rsidRDefault="00E9621E" w:rsidP="00B84D10">
            <w:pPr>
              <w:jc w:val="center"/>
              <w:rPr>
                <w:rFonts w:cs="Arial"/>
              </w:rPr>
            </w:pPr>
            <w:r w:rsidRPr="000F6E49">
              <w:rPr>
                <w:rFonts w:cs="Arial"/>
              </w:rPr>
              <w:t xml:space="preserve">Min 0.7 </w:t>
            </w:r>
            <w:proofErr w:type="spellStart"/>
            <w:r w:rsidRPr="000F6E49">
              <w:rPr>
                <w:rFonts w:cs="Arial"/>
              </w:rPr>
              <w:t>Pa</w:t>
            </w:r>
            <w:r w:rsidR="004720DD">
              <w:rPr>
                <w:rFonts w:cs="Arial"/>
              </w:rPr>
              <w:t>.</w:t>
            </w:r>
            <w:r w:rsidRPr="000F6E49">
              <w:rPr>
                <w:rFonts w:cs="Arial"/>
              </w:rPr>
              <w:t>s</w:t>
            </w:r>
            <w:proofErr w:type="spellEnd"/>
          </w:p>
        </w:tc>
        <w:tc>
          <w:tcPr>
            <w:tcW w:w="1947" w:type="dxa"/>
            <w:tcBorders>
              <w:right w:val="single" w:sz="12" w:space="0" w:color="auto"/>
            </w:tcBorders>
          </w:tcPr>
          <w:p w14:paraId="06D90705" w14:textId="485BBFC4" w:rsidR="00E9621E" w:rsidRPr="000F6E49" w:rsidRDefault="00E9621E" w:rsidP="00B84D10">
            <w:pPr>
              <w:jc w:val="center"/>
              <w:rPr>
                <w:rFonts w:cs="Arial"/>
              </w:rPr>
            </w:pPr>
            <w:r w:rsidRPr="000F6E49">
              <w:rPr>
                <w:rFonts w:cs="Arial"/>
              </w:rPr>
              <w:t xml:space="preserve">Min 0.6 </w:t>
            </w:r>
            <w:proofErr w:type="spellStart"/>
            <w:r w:rsidRPr="000F6E49">
              <w:rPr>
                <w:rFonts w:cs="Arial"/>
              </w:rPr>
              <w:t>Pa</w:t>
            </w:r>
            <w:r w:rsidR="004720DD">
              <w:rPr>
                <w:rFonts w:cs="Arial"/>
              </w:rPr>
              <w:t>.</w:t>
            </w:r>
            <w:r w:rsidRPr="000F6E49">
              <w:rPr>
                <w:rFonts w:cs="Arial"/>
              </w:rPr>
              <w:t>s</w:t>
            </w:r>
            <w:proofErr w:type="spellEnd"/>
          </w:p>
        </w:tc>
      </w:tr>
      <w:tr w:rsidR="00E9621E" w:rsidRPr="000F6E49" w14:paraId="5AFEC05B" w14:textId="77777777" w:rsidTr="00CD27B0">
        <w:trPr>
          <w:jc w:val="center"/>
        </w:trPr>
        <w:tc>
          <w:tcPr>
            <w:tcW w:w="3275" w:type="dxa"/>
            <w:tcBorders>
              <w:left w:val="single" w:sz="12" w:space="0" w:color="auto"/>
            </w:tcBorders>
          </w:tcPr>
          <w:p w14:paraId="406DA2A0" w14:textId="77777777" w:rsidR="00E9621E" w:rsidRPr="000F6E49" w:rsidRDefault="00E9621E" w:rsidP="00E9621E">
            <w:pPr>
              <w:rPr>
                <w:rFonts w:cs="Arial"/>
              </w:rPr>
            </w:pPr>
            <w:r w:rsidRPr="000F6E49">
              <w:rPr>
                <w:rFonts w:cs="Arial"/>
              </w:rPr>
              <w:t>Matter insoluble in toluene</w:t>
            </w:r>
          </w:p>
        </w:tc>
        <w:tc>
          <w:tcPr>
            <w:tcW w:w="2409" w:type="dxa"/>
          </w:tcPr>
          <w:p w14:paraId="4904BC5A" w14:textId="77777777" w:rsidR="00E9621E" w:rsidRPr="000F6E49" w:rsidRDefault="00E9621E" w:rsidP="00B84D10">
            <w:pPr>
              <w:jc w:val="center"/>
              <w:rPr>
                <w:rFonts w:cs="Arial"/>
              </w:rPr>
            </w:pPr>
            <w:r w:rsidRPr="000F6E49">
              <w:rPr>
                <w:rFonts w:cs="Arial"/>
              </w:rPr>
              <w:t>AS 2341.8</w:t>
            </w:r>
          </w:p>
        </w:tc>
        <w:tc>
          <w:tcPr>
            <w:tcW w:w="1985" w:type="dxa"/>
            <w:tcBorders>
              <w:right w:val="single" w:sz="12" w:space="0" w:color="auto"/>
            </w:tcBorders>
          </w:tcPr>
          <w:p w14:paraId="55BA9592" w14:textId="77777777" w:rsidR="00E9621E" w:rsidRPr="000F6E49" w:rsidRDefault="00E9621E" w:rsidP="00B84D10">
            <w:pPr>
              <w:jc w:val="center"/>
              <w:rPr>
                <w:rFonts w:cs="Arial"/>
              </w:rPr>
            </w:pPr>
            <w:r w:rsidRPr="000F6E49">
              <w:rPr>
                <w:rFonts w:cs="Arial"/>
              </w:rPr>
              <w:t>-</w:t>
            </w:r>
          </w:p>
        </w:tc>
        <w:tc>
          <w:tcPr>
            <w:tcW w:w="1947" w:type="dxa"/>
            <w:tcBorders>
              <w:right w:val="single" w:sz="12" w:space="0" w:color="auto"/>
            </w:tcBorders>
          </w:tcPr>
          <w:p w14:paraId="7208E9D0" w14:textId="77777777" w:rsidR="00E9621E" w:rsidRPr="000F6E49" w:rsidRDefault="00E9621E" w:rsidP="00B84D10">
            <w:pPr>
              <w:jc w:val="center"/>
              <w:rPr>
                <w:rFonts w:cs="Arial"/>
              </w:rPr>
            </w:pPr>
            <w:r w:rsidRPr="000F6E49">
              <w:rPr>
                <w:rFonts w:cs="Arial"/>
              </w:rPr>
              <w:t>Max 1% by mass</w:t>
            </w:r>
          </w:p>
        </w:tc>
      </w:tr>
      <w:tr w:rsidR="00E9621E" w:rsidRPr="000F6E49" w14:paraId="52DCC1BA" w14:textId="77777777" w:rsidTr="00CD27B0">
        <w:trPr>
          <w:jc w:val="center"/>
        </w:trPr>
        <w:tc>
          <w:tcPr>
            <w:tcW w:w="3275" w:type="dxa"/>
            <w:tcBorders>
              <w:left w:val="single" w:sz="12" w:space="0" w:color="auto"/>
            </w:tcBorders>
          </w:tcPr>
          <w:p w14:paraId="7A263D32" w14:textId="77777777" w:rsidR="00E9621E" w:rsidRPr="000F6E49" w:rsidRDefault="00E9621E" w:rsidP="00E9621E">
            <w:pPr>
              <w:rPr>
                <w:rFonts w:cs="Arial"/>
              </w:rPr>
            </w:pPr>
            <w:r w:rsidRPr="000F6E49">
              <w:rPr>
                <w:rFonts w:cs="Arial"/>
              </w:rPr>
              <w:t>Penetration Index</w:t>
            </w:r>
            <w:r w:rsidRPr="000F6E49">
              <w:rPr>
                <w:rFonts w:cs="Arial"/>
                <w:b/>
                <w:szCs w:val="26"/>
                <w:vertAlign w:val="superscript"/>
              </w:rPr>
              <w:t xml:space="preserve"> </w:t>
            </w:r>
            <w:r w:rsidRPr="000F6E49">
              <w:rPr>
                <w:rFonts w:cs="Arial"/>
                <w:b/>
                <w:sz w:val="22"/>
                <w:szCs w:val="22"/>
                <w:vertAlign w:val="superscript"/>
              </w:rPr>
              <w:t>(5)</w:t>
            </w:r>
          </w:p>
        </w:tc>
        <w:tc>
          <w:tcPr>
            <w:tcW w:w="2409" w:type="dxa"/>
          </w:tcPr>
          <w:p w14:paraId="280694B6" w14:textId="77777777" w:rsidR="00E9621E" w:rsidRPr="000F6E49" w:rsidRDefault="00E9621E" w:rsidP="00B84D10">
            <w:pPr>
              <w:jc w:val="center"/>
              <w:rPr>
                <w:rFonts w:cs="Arial"/>
              </w:rPr>
            </w:pPr>
            <w:r w:rsidRPr="000F6E49">
              <w:rPr>
                <w:rFonts w:cs="Arial"/>
              </w:rPr>
              <w:t>Not available</w:t>
            </w:r>
          </w:p>
        </w:tc>
        <w:tc>
          <w:tcPr>
            <w:tcW w:w="1985" w:type="dxa"/>
            <w:tcBorders>
              <w:right w:val="single" w:sz="12" w:space="0" w:color="auto"/>
            </w:tcBorders>
          </w:tcPr>
          <w:p w14:paraId="1F83D32D" w14:textId="77777777" w:rsidR="00E9621E" w:rsidRPr="000F6E49" w:rsidRDefault="00E9621E" w:rsidP="00B84D10">
            <w:pPr>
              <w:jc w:val="center"/>
              <w:rPr>
                <w:rFonts w:cs="Arial"/>
              </w:rPr>
            </w:pPr>
            <w:r w:rsidRPr="000F6E49">
              <w:rPr>
                <w:rFonts w:cs="Arial"/>
              </w:rPr>
              <w:t>Report with design submission</w:t>
            </w:r>
          </w:p>
        </w:tc>
        <w:tc>
          <w:tcPr>
            <w:tcW w:w="1947" w:type="dxa"/>
            <w:tcBorders>
              <w:right w:val="single" w:sz="12" w:space="0" w:color="auto"/>
            </w:tcBorders>
          </w:tcPr>
          <w:p w14:paraId="1F491CA6" w14:textId="77777777" w:rsidR="00E9621E" w:rsidRPr="000F6E49" w:rsidRDefault="00E9621E" w:rsidP="00B84D10">
            <w:pPr>
              <w:jc w:val="center"/>
              <w:rPr>
                <w:rFonts w:cs="Arial"/>
              </w:rPr>
            </w:pPr>
            <w:r w:rsidRPr="000F6E49">
              <w:rPr>
                <w:rFonts w:cs="Arial"/>
              </w:rPr>
              <w:t>Report with design submission</w:t>
            </w:r>
          </w:p>
        </w:tc>
      </w:tr>
      <w:tr w:rsidR="00E9621E" w:rsidRPr="000F6E49" w14:paraId="1B29969F" w14:textId="77777777" w:rsidTr="00CD27B0">
        <w:trPr>
          <w:jc w:val="center"/>
        </w:trPr>
        <w:tc>
          <w:tcPr>
            <w:tcW w:w="3275" w:type="dxa"/>
            <w:tcBorders>
              <w:left w:val="single" w:sz="12" w:space="0" w:color="auto"/>
            </w:tcBorders>
          </w:tcPr>
          <w:p w14:paraId="7A00E9F6" w14:textId="77777777" w:rsidR="00E9621E" w:rsidRPr="000F6E49" w:rsidRDefault="00E9621E" w:rsidP="00E9621E">
            <w:pPr>
              <w:rPr>
                <w:rFonts w:cs="Arial"/>
              </w:rPr>
            </w:pPr>
            <w:r w:rsidRPr="000F6E49">
              <w:rPr>
                <w:rFonts w:cs="Arial"/>
              </w:rPr>
              <w:t>Viscosity at 60°C after RTFO</w:t>
            </w:r>
          </w:p>
        </w:tc>
        <w:tc>
          <w:tcPr>
            <w:tcW w:w="2409" w:type="dxa"/>
          </w:tcPr>
          <w:p w14:paraId="101C8A11" w14:textId="77777777" w:rsidR="00E9621E" w:rsidRPr="000F6E49" w:rsidRDefault="00E9621E" w:rsidP="00B84D10">
            <w:pPr>
              <w:jc w:val="center"/>
              <w:rPr>
                <w:rFonts w:cs="Arial"/>
              </w:rPr>
            </w:pPr>
            <w:r w:rsidRPr="000F6E49">
              <w:rPr>
                <w:rFonts w:cs="Arial"/>
              </w:rPr>
              <w:t>AS/NZS 2341.10 and AS/NZS 2341.2</w:t>
            </w:r>
          </w:p>
        </w:tc>
        <w:tc>
          <w:tcPr>
            <w:tcW w:w="1985" w:type="dxa"/>
            <w:tcBorders>
              <w:right w:val="single" w:sz="12" w:space="0" w:color="auto"/>
            </w:tcBorders>
          </w:tcPr>
          <w:p w14:paraId="31E95FDB" w14:textId="77777777" w:rsidR="00E9621E" w:rsidRPr="000F6E49" w:rsidRDefault="00E9621E" w:rsidP="00B84D10">
            <w:pPr>
              <w:jc w:val="center"/>
              <w:rPr>
                <w:rFonts w:cs="Arial"/>
              </w:rPr>
            </w:pPr>
            <w:r w:rsidRPr="000F6E49">
              <w:rPr>
                <w:rFonts w:cs="Arial"/>
              </w:rPr>
              <w:t xml:space="preserve">Report with design submission.  </w:t>
            </w:r>
            <w:proofErr w:type="spellStart"/>
            <w:r w:rsidRPr="000F6E49">
              <w:rPr>
                <w:rFonts w:cs="Arial"/>
              </w:rPr>
              <w:t>Pa.s</w:t>
            </w:r>
            <w:proofErr w:type="spellEnd"/>
          </w:p>
        </w:tc>
        <w:tc>
          <w:tcPr>
            <w:tcW w:w="1947" w:type="dxa"/>
            <w:tcBorders>
              <w:right w:val="single" w:sz="12" w:space="0" w:color="auto"/>
            </w:tcBorders>
          </w:tcPr>
          <w:p w14:paraId="610F1871" w14:textId="77777777" w:rsidR="00E9621E" w:rsidRPr="000F6E49" w:rsidRDefault="00E9621E" w:rsidP="00B84D10">
            <w:pPr>
              <w:jc w:val="center"/>
              <w:rPr>
                <w:rFonts w:cs="Arial"/>
              </w:rPr>
            </w:pPr>
            <w:r w:rsidRPr="000F6E49">
              <w:rPr>
                <w:rFonts w:cs="Arial"/>
              </w:rPr>
              <w:t xml:space="preserve">Report with design submission.  </w:t>
            </w:r>
            <w:proofErr w:type="spellStart"/>
            <w:r w:rsidRPr="000F6E49">
              <w:rPr>
                <w:rFonts w:cs="Arial"/>
              </w:rPr>
              <w:t>Pa.s</w:t>
            </w:r>
            <w:proofErr w:type="spellEnd"/>
          </w:p>
        </w:tc>
      </w:tr>
      <w:tr w:rsidR="00E9621E" w:rsidRPr="000F6E49" w14:paraId="003F8308" w14:textId="77777777" w:rsidTr="00CD27B0">
        <w:trPr>
          <w:jc w:val="center"/>
        </w:trPr>
        <w:tc>
          <w:tcPr>
            <w:tcW w:w="3275" w:type="dxa"/>
            <w:tcBorders>
              <w:left w:val="single" w:sz="12" w:space="0" w:color="auto"/>
              <w:bottom w:val="single" w:sz="12" w:space="0" w:color="auto"/>
            </w:tcBorders>
          </w:tcPr>
          <w:p w14:paraId="258416FF" w14:textId="77777777" w:rsidR="00E9621E" w:rsidRPr="000F6E49" w:rsidRDefault="00E9621E" w:rsidP="00E9621E">
            <w:pPr>
              <w:rPr>
                <w:rFonts w:cs="Arial"/>
              </w:rPr>
            </w:pPr>
            <w:r w:rsidRPr="000F6E49">
              <w:rPr>
                <w:rFonts w:cs="Arial"/>
              </w:rPr>
              <w:t>Viscosity at 60°C, percentage of original after RTFO test</w:t>
            </w:r>
          </w:p>
        </w:tc>
        <w:tc>
          <w:tcPr>
            <w:tcW w:w="2409" w:type="dxa"/>
            <w:tcBorders>
              <w:bottom w:val="single" w:sz="12" w:space="0" w:color="auto"/>
            </w:tcBorders>
          </w:tcPr>
          <w:p w14:paraId="5773082E" w14:textId="77777777" w:rsidR="00E9621E" w:rsidRPr="000F6E49" w:rsidRDefault="00E9621E" w:rsidP="00B84D10">
            <w:pPr>
              <w:jc w:val="center"/>
              <w:rPr>
                <w:rFonts w:cs="Arial"/>
              </w:rPr>
            </w:pPr>
            <w:r w:rsidRPr="000F6E49">
              <w:rPr>
                <w:rFonts w:cs="Arial"/>
              </w:rPr>
              <w:t>AS/NZS 2341.10 and AS/NZS 2341.2</w:t>
            </w:r>
          </w:p>
        </w:tc>
        <w:tc>
          <w:tcPr>
            <w:tcW w:w="1985" w:type="dxa"/>
            <w:tcBorders>
              <w:bottom w:val="single" w:sz="12" w:space="0" w:color="auto"/>
              <w:right w:val="single" w:sz="12" w:space="0" w:color="auto"/>
            </w:tcBorders>
          </w:tcPr>
          <w:p w14:paraId="730DBADA" w14:textId="77777777" w:rsidR="00E9621E" w:rsidRPr="000F6E49" w:rsidRDefault="00E9621E" w:rsidP="00B84D10">
            <w:pPr>
              <w:jc w:val="center"/>
              <w:rPr>
                <w:rFonts w:cs="Arial"/>
              </w:rPr>
            </w:pPr>
            <w:r w:rsidRPr="000F6E49">
              <w:rPr>
                <w:rFonts w:cs="Arial"/>
              </w:rPr>
              <w:t>Report with design submission.  %</w:t>
            </w:r>
          </w:p>
        </w:tc>
        <w:tc>
          <w:tcPr>
            <w:tcW w:w="1947" w:type="dxa"/>
            <w:tcBorders>
              <w:bottom w:val="single" w:sz="12" w:space="0" w:color="auto"/>
              <w:right w:val="single" w:sz="12" w:space="0" w:color="auto"/>
            </w:tcBorders>
          </w:tcPr>
          <w:p w14:paraId="70C63DD8" w14:textId="77777777" w:rsidR="00E9621E" w:rsidRPr="000F6E49" w:rsidRDefault="00E9621E" w:rsidP="00B84D10">
            <w:pPr>
              <w:jc w:val="center"/>
              <w:rPr>
                <w:rFonts w:cs="Arial"/>
              </w:rPr>
            </w:pPr>
            <w:r w:rsidRPr="000F6E49">
              <w:rPr>
                <w:rFonts w:cs="Arial"/>
              </w:rPr>
              <w:t>Report with design submission.  %</w:t>
            </w:r>
          </w:p>
        </w:tc>
      </w:tr>
    </w:tbl>
    <w:p w14:paraId="43DBC98C" w14:textId="56396D35" w:rsidR="00537030" w:rsidRDefault="00537030" w:rsidP="00CA4068">
      <w:pPr>
        <w:rPr>
          <w:rFonts w:cs="Arial"/>
        </w:rPr>
      </w:pPr>
    </w:p>
    <w:p w14:paraId="2FAECA07" w14:textId="5A65A468" w:rsidR="00734239" w:rsidRPr="00F107C1" w:rsidRDefault="00734239" w:rsidP="00396873">
      <w:pPr>
        <w:widowControl/>
        <w:rPr>
          <w:rFonts w:cs="Arial"/>
          <w:sz w:val="18"/>
          <w:szCs w:val="18"/>
        </w:rPr>
      </w:pPr>
      <w:r w:rsidRPr="00072069">
        <w:rPr>
          <w:rFonts w:cs="Arial"/>
          <w:b/>
          <w:bCs/>
          <w:sz w:val="18"/>
          <w:szCs w:val="18"/>
        </w:rPr>
        <w:t>Notes</w:t>
      </w:r>
      <w:r w:rsidR="00072069" w:rsidRPr="00072069">
        <w:rPr>
          <w:rFonts w:cs="Arial"/>
          <w:b/>
          <w:bCs/>
          <w:sz w:val="18"/>
          <w:szCs w:val="18"/>
        </w:rPr>
        <w:t xml:space="preserve"> to Table 418.041:</w:t>
      </w:r>
    </w:p>
    <w:p w14:paraId="5F894C80" w14:textId="009CDB00" w:rsidR="00734239" w:rsidRPr="00F107C1" w:rsidRDefault="00734239" w:rsidP="00627A3D">
      <w:pPr>
        <w:widowControl/>
        <w:spacing w:before="120"/>
        <w:rPr>
          <w:rFonts w:cs="Arial"/>
          <w:bCs/>
          <w:sz w:val="18"/>
          <w:szCs w:val="18"/>
        </w:rPr>
      </w:pPr>
      <w:r w:rsidRPr="00F107C1">
        <w:rPr>
          <w:rFonts w:cs="Arial"/>
          <w:bCs/>
          <w:sz w:val="18"/>
          <w:szCs w:val="18"/>
        </w:rPr>
        <w:t>(1)</w:t>
      </w:r>
      <w:r w:rsidRPr="00F107C1">
        <w:rPr>
          <w:rFonts w:cs="Arial"/>
          <w:sz w:val="18"/>
          <w:szCs w:val="18"/>
        </w:rPr>
        <w:t xml:space="preserve">  </w:t>
      </w:r>
      <w:r w:rsidRPr="00F107C1">
        <w:rPr>
          <w:rFonts w:cs="Arial"/>
          <w:bCs/>
          <w:sz w:val="18"/>
          <w:szCs w:val="18"/>
        </w:rPr>
        <w:t xml:space="preserve">One (1) </w:t>
      </w:r>
      <w:proofErr w:type="spellStart"/>
      <w:r w:rsidRPr="00F107C1">
        <w:rPr>
          <w:rFonts w:cs="Arial"/>
          <w:bCs/>
          <w:sz w:val="18"/>
          <w:szCs w:val="18"/>
        </w:rPr>
        <w:t>pu</w:t>
      </w:r>
      <w:proofErr w:type="spellEnd"/>
      <w:r w:rsidRPr="00F107C1">
        <w:rPr>
          <w:rFonts w:cs="Arial"/>
          <w:bCs/>
          <w:sz w:val="18"/>
          <w:szCs w:val="18"/>
        </w:rPr>
        <w:t xml:space="preserve"> equals 0.1 mm.</w:t>
      </w:r>
    </w:p>
    <w:p w14:paraId="3148C229" w14:textId="7DA70E60" w:rsidR="00734239" w:rsidRPr="00F107C1" w:rsidRDefault="00734239" w:rsidP="00627A3D">
      <w:pPr>
        <w:widowControl/>
        <w:spacing w:before="120"/>
        <w:rPr>
          <w:rFonts w:cs="Arial"/>
          <w:bCs/>
          <w:sz w:val="18"/>
          <w:szCs w:val="18"/>
        </w:rPr>
      </w:pPr>
      <w:r w:rsidRPr="00F107C1">
        <w:rPr>
          <w:rFonts w:cs="Arial"/>
          <w:bCs/>
          <w:sz w:val="18"/>
          <w:szCs w:val="18"/>
        </w:rPr>
        <w:t>(2)</w:t>
      </w:r>
      <w:r w:rsidRPr="00F107C1">
        <w:rPr>
          <w:rFonts w:cs="Arial"/>
          <w:b/>
          <w:sz w:val="18"/>
          <w:szCs w:val="18"/>
        </w:rPr>
        <w:t xml:space="preserve">  </w:t>
      </w:r>
      <w:r w:rsidRPr="00F107C1">
        <w:rPr>
          <w:rFonts w:cs="Arial"/>
          <w:bCs/>
          <w:sz w:val="18"/>
          <w:szCs w:val="18"/>
        </w:rPr>
        <w:t>Retained penetration shall be calculated using the following equation:</w:t>
      </w:r>
    </w:p>
    <w:p w14:paraId="6A9370AA" w14:textId="787CEBE9" w:rsidR="00734239" w:rsidRPr="00F107C1" w:rsidRDefault="00734239" w:rsidP="00627A3D">
      <w:pPr>
        <w:widowControl/>
        <w:spacing w:before="80"/>
        <w:rPr>
          <w:rFonts w:cs="Arial"/>
          <w:bCs/>
          <w:sz w:val="18"/>
          <w:szCs w:val="18"/>
        </w:rPr>
      </w:pPr>
      <w:r w:rsidRPr="00F107C1">
        <w:rPr>
          <w:rFonts w:cs="Arial"/>
          <w:bCs/>
          <w:sz w:val="18"/>
          <w:szCs w:val="18"/>
        </w:rPr>
        <w:tab/>
        <w:t>(Penetration at 25°C (100g, 5s) after RTFOx100)</w:t>
      </w:r>
      <w:r w:rsidRPr="007C7DE2">
        <w:rPr>
          <w:rFonts w:cs="Arial"/>
          <w:bCs/>
        </w:rPr>
        <w:t xml:space="preserve"> / </w:t>
      </w:r>
      <w:r w:rsidRPr="00F107C1">
        <w:rPr>
          <w:rFonts w:cs="Arial"/>
          <w:bCs/>
          <w:sz w:val="18"/>
          <w:szCs w:val="18"/>
        </w:rPr>
        <w:t>(Penetration at 25°C (100g, 5s) before RTFO)</w:t>
      </w:r>
    </w:p>
    <w:p w14:paraId="35561A00" w14:textId="77777777" w:rsidR="00734239" w:rsidRPr="00F107C1" w:rsidRDefault="00734239" w:rsidP="00734239">
      <w:pPr>
        <w:widowControl/>
        <w:rPr>
          <w:rFonts w:cs="Arial"/>
          <w:bCs/>
          <w:sz w:val="18"/>
          <w:szCs w:val="18"/>
        </w:rPr>
      </w:pPr>
    </w:p>
    <w:p w14:paraId="43304F96" w14:textId="2B6F9BA6" w:rsidR="00734239" w:rsidRPr="00F107C1" w:rsidRDefault="00734239" w:rsidP="00734239">
      <w:pPr>
        <w:widowControl/>
        <w:rPr>
          <w:rFonts w:cs="Arial"/>
          <w:bCs/>
          <w:sz w:val="18"/>
          <w:szCs w:val="18"/>
        </w:rPr>
      </w:pPr>
      <w:r w:rsidRPr="00F107C1">
        <w:rPr>
          <w:rFonts w:cs="Arial"/>
          <w:bCs/>
          <w:sz w:val="18"/>
          <w:szCs w:val="18"/>
        </w:rPr>
        <w:t>(3)  Increase in softening point after RTFO treatment shall be calculated using the equation:</w:t>
      </w:r>
    </w:p>
    <w:p w14:paraId="10E78238" w14:textId="4CB82BCE" w:rsidR="00734239" w:rsidRPr="00F107C1" w:rsidRDefault="00734239" w:rsidP="00627A3D">
      <w:pPr>
        <w:widowControl/>
        <w:spacing w:before="80"/>
        <w:rPr>
          <w:rFonts w:cs="Arial"/>
          <w:bCs/>
          <w:sz w:val="18"/>
          <w:szCs w:val="18"/>
        </w:rPr>
      </w:pPr>
      <w:r w:rsidRPr="00F107C1">
        <w:rPr>
          <w:rFonts w:cs="Arial"/>
          <w:bCs/>
          <w:sz w:val="18"/>
          <w:szCs w:val="18"/>
        </w:rPr>
        <w:tab/>
        <w:t>(Softening point after RTFO – softening point before RTFO)</w:t>
      </w:r>
    </w:p>
    <w:p w14:paraId="430FCAAD" w14:textId="6099435B" w:rsidR="00734239" w:rsidRPr="00F107C1" w:rsidRDefault="00734239" w:rsidP="00627A3D">
      <w:pPr>
        <w:widowControl/>
        <w:spacing w:before="120"/>
        <w:rPr>
          <w:rFonts w:cs="Arial"/>
          <w:bCs/>
          <w:sz w:val="18"/>
          <w:szCs w:val="18"/>
        </w:rPr>
      </w:pPr>
      <w:r w:rsidRPr="00F107C1">
        <w:rPr>
          <w:rFonts w:cs="Arial"/>
          <w:sz w:val="18"/>
          <w:szCs w:val="18"/>
        </w:rPr>
        <w:t xml:space="preserve">(4)  </w:t>
      </w:r>
      <w:r w:rsidRPr="00F107C1">
        <w:rPr>
          <w:rFonts w:cs="Arial"/>
          <w:bCs/>
          <w:sz w:val="18"/>
          <w:szCs w:val="18"/>
        </w:rPr>
        <w:t>Test shall be performed using an Asphalt Institute viscosity tube.</w:t>
      </w:r>
    </w:p>
    <w:p w14:paraId="3DE9A7F7" w14:textId="5F3921E9" w:rsidR="00734239" w:rsidRPr="00F107C1" w:rsidRDefault="00734239" w:rsidP="00627A3D">
      <w:pPr>
        <w:widowControl/>
        <w:spacing w:before="120"/>
        <w:rPr>
          <w:rFonts w:cs="Arial"/>
          <w:sz w:val="18"/>
          <w:szCs w:val="18"/>
          <w:lang w:val="en-AU"/>
        </w:rPr>
      </w:pPr>
      <w:r w:rsidRPr="00F107C1">
        <w:rPr>
          <w:rFonts w:cs="Arial"/>
          <w:sz w:val="18"/>
          <w:szCs w:val="18"/>
          <w:lang w:val="en-AU"/>
        </w:rPr>
        <w:t>(</w:t>
      </w:r>
      <w:r w:rsidR="007F0749">
        <w:rPr>
          <w:rFonts w:cs="Arial"/>
          <w:sz w:val="18"/>
          <w:szCs w:val="18"/>
          <w:lang w:val="en-AU"/>
        </w:rPr>
        <w:t>5</w:t>
      </w:r>
      <w:r w:rsidRPr="00F107C1">
        <w:rPr>
          <w:rFonts w:cs="Arial"/>
          <w:sz w:val="18"/>
          <w:szCs w:val="18"/>
          <w:lang w:val="en-AU"/>
        </w:rPr>
        <w:t>)  Penetration Index</w:t>
      </w:r>
    </w:p>
    <w:p w14:paraId="47DD8533" w14:textId="5B028C7E" w:rsidR="00734239" w:rsidRPr="00F107C1" w:rsidRDefault="00734239" w:rsidP="00627A3D">
      <w:pPr>
        <w:widowControl/>
        <w:spacing w:before="80"/>
        <w:ind w:firstLine="720"/>
        <w:rPr>
          <w:rFonts w:cs="Arial"/>
          <w:sz w:val="18"/>
          <w:szCs w:val="18"/>
        </w:rPr>
      </w:pPr>
      <w:r w:rsidRPr="00F107C1">
        <w:rPr>
          <w:rFonts w:cs="Arial"/>
          <w:bCs/>
          <w:sz w:val="18"/>
          <w:szCs w:val="18"/>
        </w:rPr>
        <w:t>Penetration Index (PI) shall be calc</w:t>
      </w:r>
      <w:r w:rsidRPr="00F107C1">
        <w:rPr>
          <w:rFonts w:cs="Arial"/>
          <w:sz w:val="18"/>
          <w:szCs w:val="18"/>
        </w:rPr>
        <w:t>ulated as follows (viz. Annexure A of EN 13924</w:t>
      </w:r>
      <w:r w:rsidRPr="00F107C1">
        <w:rPr>
          <w:rFonts w:cs="Arial"/>
          <w:sz w:val="18"/>
          <w:szCs w:val="18"/>
        </w:rPr>
        <w:noBreakHyphen/>
        <w:t>2006):</w:t>
      </w:r>
    </w:p>
    <w:p w14:paraId="184BC089" w14:textId="77777777" w:rsidR="00734239" w:rsidRPr="00F107C1" w:rsidRDefault="00734239" w:rsidP="00734239">
      <w:pPr>
        <w:widowControl/>
        <w:rPr>
          <w:rFonts w:cs="Arial"/>
          <w:sz w:val="18"/>
          <w:szCs w:val="18"/>
        </w:rPr>
      </w:pPr>
    </w:p>
    <w:tbl>
      <w:tblPr>
        <w:tblW w:w="0" w:type="auto"/>
        <w:tblInd w:w="2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69"/>
        <w:gridCol w:w="3144"/>
      </w:tblGrid>
      <w:tr w:rsidR="00734239" w:rsidRPr="00F107C1" w14:paraId="4F1DB04A" w14:textId="77777777" w:rsidTr="00C14702">
        <w:tc>
          <w:tcPr>
            <w:tcW w:w="769" w:type="dxa"/>
            <w:vMerge w:val="restart"/>
            <w:tcBorders>
              <w:top w:val="nil"/>
              <w:left w:val="nil"/>
              <w:bottom w:val="nil"/>
              <w:right w:val="nil"/>
            </w:tcBorders>
            <w:vAlign w:val="center"/>
          </w:tcPr>
          <w:p w14:paraId="2D25F46E" w14:textId="77777777" w:rsidR="00734239" w:rsidRPr="00F107C1" w:rsidRDefault="00734239" w:rsidP="00734239">
            <w:pPr>
              <w:widowControl/>
              <w:rPr>
                <w:rFonts w:cs="Arial"/>
                <w:sz w:val="18"/>
                <w:szCs w:val="18"/>
              </w:rPr>
            </w:pPr>
            <w:r w:rsidRPr="00F107C1">
              <w:rPr>
                <w:rFonts w:cs="Arial"/>
                <w:i/>
                <w:sz w:val="18"/>
                <w:szCs w:val="18"/>
              </w:rPr>
              <w:t>P I</w:t>
            </w:r>
            <w:r w:rsidRPr="00F107C1">
              <w:rPr>
                <w:rFonts w:cs="Arial"/>
                <w:sz w:val="18"/>
                <w:szCs w:val="18"/>
              </w:rPr>
              <w:t xml:space="preserve"> =  </w:t>
            </w:r>
          </w:p>
        </w:tc>
        <w:tc>
          <w:tcPr>
            <w:tcW w:w="3144" w:type="dxa"/>
            <w:tcBorders>
              <w:top w:val="nil"/>
              <w:left w:val="nil"/>
              <w:bottom w:val="single" w:sz="4" w:space="0" w:color="auto"/>
              <w:right w:val="nil"/>
            </w:tcBorders>
            <w:tcMar>
              <w:bottom w:w="17" w:type="dxa"/>
            </w:tcMar>
            <w:vAlign w:val="center"/>
          </w:tcPr>
          <w:p w14:paraId="241EDD54" w14:textId="77777777" w:rsidR="00734239" w:rsidRPr="00F107C1" w:rsidRDefault="00734239" w:rsidP="00734239">
            <w:pPr>
              <w:widowControl/>
              <w:rPr>
                <w:rFonts w:cs="Arial"/>
                <w:sz w:val="18"/>
                <w:szCs w:val="18"/>
              </w:rPr>
            </w:pPr>
            <w:r w:rsidRPr="00F107C1">
              <w:rPr>
                <w:rFonts w:cs="Arial"/>
                <w:sz w:val="18"/>
                <w:szCs w:val="18"/>
              </w:rPr>
              <w:t xml:space="preserve">(20 x </w:t>
            </w:r>
            <w:r w:rsidRPr="00F107C1">
              <w:rPr>
                <w:rFonts w:cs="Arial"/>
                <w:i/>
                <w:sz w:val="18"/>
                <w:szCs w:val="18"/>
              </w:rPr>
              <w:t>SP</w:t>
            </w:r>
            <w:r w:rsidRPr="00F107C1">
              <w:rPr>
                <w:rFonts w:cs="Arial"/>
                <w:sz w:val="18"/>
                <w:szCs w:val="18"/>
              </w:rPr>
              <w:t xml:space="preserve">) + (500 x </w:t>
            </w:r>
            <w:proofErr w:type="spellStart"/>
            <w:r w:rsidRPr="00F107C1">
              <w:rPr>
                <w:rFonts w:cs="Arial"/>
                <w:i/>
                <w:sz w:val="18"/>
                <w:szCs w:val="18"/>
              </w:rPr>
              <w:t>logPen</w:t>
            </w:r>
            <w:proofErr w:type="spellEnd"/>
            <w:r w:rsidRPr="00F107C1">
              <w:rPr>
                <w:rFonts w:cs="Arial"/>
                <w:sz w:val="18"/>
                <w:szCs w:val="18"/>
              </w:rPr>
              <w:t>) - 1952</w:t>
            </w:r>
          </w:p>
        </w:tc>
      </w:tr>
      <w:tr w:rsidR="00734239" w:rsidRPr="00F107C1" w14:paraId="158009D8" w14:textId="77777777" w:rsidTr="00C14702">
        <w:tc>
          <w:tcPr>
            <w:tcW w:w="769" w:type="dxa"/>
            <w:vMerge/>
            <w:tcBorders>
              <w:left w:val="nil"/>
              <w:bottom w:val="nil"/>
              <w:right w:val="nil"/>
            </w:tcBorders>
            <w:vAlign w:val="center"/>
          </w:tcPr>
          <w:p w14:paraId="4100D961" w14:textId="77777777" w:rsidR="00734239" w:rsidRPr="00F107C1" w:rsidRDefault="00734239" w:rsidP="00734239">
            <w:pPr>
              <w:widowControl/>
              <w:rPr>
                <w:rFonts w:cs="Arial"/>
                <w:sz w:val="18"/>
                <w:szCs w:val="18"/>
              </w:rPr>
            </w:pPr>
          </w:p>
        </w:tc>
        <w:tc>
          <w:tcPr>
            <w:tcW w:w="3144" w:type="dxa"/>
            <w:tcBorders>
              <w:left w:val="nil"/>
              <w:bottom w:val="nil"/>
              <w:right w:val="nil"/>
            </w:tcBorders>
            <w:vAlign w:val="center"/>
          </w:tcPr>
          <w:p w14:paraId="58A0378D" w14:textId="44CD8C50" w:rsidR="00734239" w:rsidRPr="00F107C1" w:rsidRDefault="0038587E" w:rsidP="00734239">
            <w:pPr>
              <w:widowControl/>
              <w:rPr>
                <w:rFonts w:cs="Arial"/>
                <w:sz w:val="18"/>
                <w:szCs w:val="18"/>
              </w:rPr>
            </w:pPr>
            <w:r>
              <w:rPr>
                <w:rFonts w:cs="Arial"/>
                <w:i/>
                <w:sz w:val="18"/>
                <w:szCs w:val="18"/>
              </w:rPr>
              <w:t xml:space="preserve">      </w:t>
            </w:r>
            <w:r w:rsidR="00734239" w:rsidRPr="00F107C1">
              <w:rPr>
                <w:rFonts w:cs="Arial"/>
                <w:i/>
                <w:sz w:val="18"/>
                <w:szCs w:val="18"/>
              </w:rPr>
              <w:t>SP</w:t>
            </w:r>
            <w:r w:rsidR="00734239" w:rsidRPr="00F107C1">
              <w:rPr>
                <w:rFonts w:cs="Arial"/>
                <w:sz w:val="18"/>
                <w:szCs w:val="18"/>
              </w:rPr>
              <w:t xml:space="preserve"> – (50 x </w:t>
            </w:r>
            <w:proofErr w:type="spellStart"/>
            <w:r w:rsidR="00734239" w:rsidRPr="00F107C1">
              <w:rPr>
                <w:rFonts w:cs="Arial"/>
                <w:i/>
                <w:sz w:val="18"/>
                <w:szCs w:val="18"/>
              </w:rPr>
              <w:t>logPen</w:t>
            </w:r>
            <w:proofErr w:type="spellEnd"/>
            <w:r w:rsidR="00734239" w:rsidRPr="00F107C1">
              <w:rPr>
                <w:rFonts w:cs="Arial"/>
                <w:sz w:val="18"/>
                <w:szCs w:val="18"/>
              </w:rPr>
              <w:t>) + 120</w:t>
            </w:r>
          </w:p>
        </w:tc>
      </w:tr>
    </w:tbl>
    <w:p w14:paraId="6C067357" w14:textId="77777777" w:rsidR="00734239" w:rsidRPr="00F107C1" w:rsidRDefault="00734239" w:rsidP="00734239">
      <w:pPr>
        <w:widowControl/>
        <w:rPr>
          <w:rFonts w:cs="Arial"/>
          <w:sz w:val="18"/>
          <w:szCs w:val="18"/>
        </w:rPr>
      </w:pPr>
    </w:p>
    <w:p w14:paraId="4E83C292" w14:textId="77777777" w:rsidR="00734239" w:rsidRPr="00F107C1" w:rsidRDefault="00734239" w:rsidP="00734239">
      <w:pPr>
        <w:widowControl/>
        <w:ind w:firstLine="720"/>
        <w:rPr>
          <w:rFonts w:cs="Arial"/>
          <w:sz w:val="18"/>
          <w:szCs w:val="18"/>
        </w:rPr>
      </w:pPr>
      <w:r w:rsidRPr="00F107C1">
        <w:rPr>
          <w:rFonts w:cs="Arial"/>
          <w:sz w:val="18"/>
          <w:szCs w:val="18"/>
        </w:rPr>
        <w:t>where:</w:t>
      </w:r>
      <w:r w:rsidRPr="00F107C1">
        <w:rPr>
          <w:rFonts w:cs="Arial"/>
          <w:sz w:val="18"/>
          <w:szCs w:val="18"/>
        </w:rPr>
        <w:tab/>
        <w:t>SP</w:t>
      </w:r>
      <w:r w:rsidRPr="00F107C1">
        <w:rPr>
          <w:rFonts w:cs="Arial"/>
          <w:sz w:val="18"/>
          <w:szCs w:val="18"/>
        </w:rPr>
        <w:tab/>
        <w:t>=</w:t>
      </w:r>
      <w:r w:rsidRPr="00F107C1">
        <w:rPr>
          <w:rFonts w:cs="Arial"/>
          <w:sz w:val="18"/>
          <w:szCs w:val="18"/>
        </w:rPr>
        <w:tab/>
        <w:t>Softening point determined in accordance with AS 2341.18</w:t>
      </w:r>
    </w:p>
    <w:p w14:paraId="2FCC3F85" w14:textId="2C6A43CC" w:rsidR="00734239" w:rsidRPr="00F107C1" w:rsidRDefault="00734239" w:rsidP="00734239">
      <w:pPr>
        <w:widowControl/>
        <w:rPr>
          <w:rFonts w:cs="Arial"/>
          <w:sz w:val="18"/>
          <w:szCs w:val="18"/>
          <w:lang w:val="en-AU"/>
        </w:rPr>
      </w:pPr>
      <w:r w:rsidRPr="00F107C1">
        <w:rPr>
          <w:rFonts w:cs="Arial"/>
          <w:sz w:val="18"/>
          <w:szCs w:val="18"/>
          <w:lang w:val="en-AU"/>
        </w:rPr>
        <w:tab/>
      </w:r>
      <w:r w:rsidRPr="00F107C1">
        <w:rPr>
          <w:rFonts w:cs="Arial"/>
          <w:sz w:val="18"/>
          <w:szCs w:val="18"/>
          <w:lang w:val="en-AU"/>
        </w:rPr>
        <w:tab/>
        <w:t>Pen</w:t>
      </w:r>
      <w:r w:rsidRPr="00F107C1">
        <w:rPr>
          <w:rFonts w:cs="Arial"/>
          <w:sz w:val="18"/>
          <w:szCs w:val="18"/>
          <w:lang w:val="en-AU"/>
        </w:rPr>
        <w:tab/>
        <w:t>=</w:t>
      </w:r>
      <w:r w:rsidRPr="00F107C1">
        <w:rPr>
          <w:rFonts w:cs="Arial"/>
          <w:sz w:val="18"/>
          <w:szCs w:val="18"/>
          <w:lang w:val="en-AU"/>
        </w:rPr>
        <w:tab/>
        <w:t>Penetration determined in accordance with AS 2341.12</w:t>
      </w:r>
    </w:p>
    <w:p w14:paraId="741F7313" w14:textId="77777777" w:rsidR="00537030" w:rsidRDefault="00537030">
      <w:pPr>
        <w:widowControl/>
        <w:rPr>
          <w:rFonts w:cs="Arial"/>
        </w:rPr>
      </w:pPr>
      <w:r>
        <w:rPr>
          <w:rFonts w:cs="Arial"/>
        </w:rPr>
        <w:br w:type="page"/>
      </w:r>
    </w:p>
    <w:p w14:paraId="7966C326" w14:textId="77777777" w:rsidR="000F120F" w:rsidRPr="000F6E49" w:rsidRDefault="000F120F" w:rsidP="00CA4068">
      <w:pPr>
        <w:rPr>
          <w:rFonts w:cs="Arial"/>
        </w:rPr>
      </w:pPr>
    </w:p>
    <w:p w14:paraId="76598F26" w14:textId="6556DE0B" w:rsidR="000F120F" w:rsidRPr="000F6E49" w:rsidRDefault="000F120F" w:rsidP="00CA4068">
      <w:pPr>
        <w:pStyle w:val="Heading3SS"/>
      </w:pPr>
      <w:r w:rsidRPr="000F6E49">
        <w:t>418.0</w:t>
      </w:r>
      <w:r w:rsidR="008B6E66" w:rsidRPr="000F6E49">
        <w:t>5</w:t>
      </w:r>
      <w:r w:rsidRPr="000F6E49">
        <w:tab/>
        <w:t>MIX DESIGN</w:t>
      </w:r>
    </w:p>
    <w:p w14:paraId="0AE7D9C2" w14:textId="2F55D988" w:rsidR="000F120F" w:rsidRPr="000F6E49" w:rsidRDefault="008B6E66" w:rsidP="00F107C1">
      <w:pPr>
        <w:tabs>
          <w:tab w:val="left" w:pos="1560"/>
        </w:tabs>
        <w:spacing w:before="160"/>
        <w:rPr>
          <w:rFonts w:cs="Arial"/>
          <w:bCs/>
        </w:rPr>
      </w:pPr>
      <w:r w:rsidRPr="000F6E49">
        <w:rPr>
          <w:rFonts w:cs="Arial"/>
        </w:rPr>
        <w:t>All asphalt mixes proposed for use in the works shall be registered in accordance with RC 500.01.</w:t>
      </w:r>
    </w:p>
    <w:p w14:paraId="3580691F" w14:textId="0A3CDB85" w:rsidR="008B6E66" w:rsidRPr="000F6E49" w:rsidRDefault="000F120F" w:rsidP="00F107C1">
      <w:pPr>
        <w:tabs>
          <w:tab w:val="left" w:pos="0"/>
        </w:tabs>
        <w:spacing w:before="200"/>
        <w:ind w:hanging="567"/>
        <w:rPr>
          <w:rFonts w:cs="Arial"/>
        </w:rPr>
      </w:pPr>
      <w:r w:rsidRPr="000F6E49">
        <w:rPr>
          <w:rFonts w:cs="Arial"/>
          <w:b/>
        </w:rPr>
        <w:t>HP</w:t>
      </w:r>
      <w:r w:rsidRPr="000F6E49">
        <w:rPr>
          <w:rFonts w:cs="Arial"/>
          <w:b/>
        </w:rPr>
        <w:tab/>
      </w:r>
      <w:r w:rsidR="008B6E66" w:rsidRPr="000F6E49">
        <w:rPr>
          <w:rFonts w:cs="Arial"/>
          <w:b/>
        </w:rPr>
        <w:t xml:space="preserve">All asphalt mixes proposed for use in the works shall have a mix design registered by Department of Transport </w:t>
      </w:r>
      <w:r w:rsidR="00BF2954">
        <w:rPr>
          <w:rFonts w:cs="Arial"/>
          <w:b/>
        </w:rPr>
        <w:t xml:space="preserve">and Planning </w:t>
      </w:r>
      <w:r w:rsidR="008B6E66" w:rsidRPr="000F6E49">
        <w:rPr>
          <w:rFonts w:cs="Arial"/>
          <w:b/>
        </w:rPr>
        <w:t>as ‘General’, unless otherwise approved by the Department of Transport</w:t>
      </w:r>
      <w:r w:rsidR="00BF2954">
        <w:rPr>
          <w:rFonts w:cs="Arial"/>
          <w:b/>
        </w:rPr>
        <w:t xml:space="preserve"> and Planning.</w:t>
      </w:r>
      <w:r w:rsidR="008B6E66" w:rsidRPr="000F6E49">
        <w:rPr>
          <w:rFonts w:cs="Arial"/>
          <w:b/>
        </w:rPr>
        <w:t xml:space="preserve">  The registration for all mixes incorporated into the works shall be current at the time of their use.  The Contractor shall submit documentation to the Superintendent nominating the asphalt mixes to be supplied no less than 7 days prior to their use.</w:t>
      </w:r>
    </w:p>
    <w:p w14:paraId="251D41F8" w14:textId="77777777" w:rsidR="00B27D20" w:rsidRPr="000F6E49" w:rsidRDefault="00B27D20" w:rsidP="00B27D20">
      <w:pPr>
        <w:pStyle w:val="Heading3SS"/>
        <w:ind w:left="0" w:firstLine="0"/>
      </w:pPr>
    </w:p>
    <w:p w14:paraId="09BE3E2E" w14:textId="35DD2CF9" w:rsidR="00B27D20" w:rsidRDefault="000F120F" w:rsidP="00B27D20">
      <w:pPr>
        <w:pStyle w:val="Heading3SS"/>
        <w:ind w:left="0" w:firstLine="0"/>
        <w:rPr>
          <w:b w:val="0"/>
          <w:bCs w:val="0"/>
        </w:rPr>
      </w:pPr>
      <w:r w:rsidRPr="00734239">
        <w:rPr>
          <w:b w:val="0"/>
          <w:bCs w:val="0"/>
        </w:rPr>
        <w:t xml:space="preserve">The </w:t>
      </w:r>
      <w:r w:rsidR="00EF4F56">
        <w:rPr>
          <w:b w:val="0"/>
          <w:bCs w:val="0"/>
        </w:rPr>
        <w:t>C</w:t>
      </w:r>
      <w:r w:rsidR="00EF4F56" w:rsidRPr="00734239">
        <w:rPr>
          <w:b w:val="0"/>
          <w:bCs w:val="0"/>
        </w:rPr>
        <w:t xml:space="preserve">ontractor </w:t>
      </w:r>
      <w:r w:rsidRPr="00734239">
        <w:rPr>
          <w:b w:val="0"/>
          <w:bCs w:val="0"/>
        </w:rPr>
        <w:t>shall be responsible for the development of a mix design to comply with the requirements of</w:t>
      </w:r>
      <w:r w:rsidR="008B6E66" w:rsidRPr="00734239">
        <w:rPr>
          <w:b w:val="0"/>
          <w:bCs w:val="0"/>
        </w:rPr>
        <w:t xml:space="preserve"> the specification</w:t>
      </w:r>
      <w:r w:rsidRPr="00734239">
        <w:rPr>
          <w:b w:val="0"/>
          <w:bCs w:val="0"/>
        </w:rPr>
        <w:t>.</w:t>
      </w:r>
    </w:p>
    <w:p w14:paraId="253B33E7" w14:textId="77777777" w:rsidR="00B27D20" w:rsidRPr="000F6E49" w:rsidRDefault="00B27D20" w:rsidP="00B27D20">
      <w:pPr>
        <w:pStyle w:val="Heading3SS"/>
        <w:ind w:left="0" w:firstLine="0"/>
      </w:pPr>
    </w:p>
    <w:p w14:paraId="07D80272" w14:textId="77777777" w:rsidR="00B27D20" w:rsidRPr="000F6E49" w:rsidRDefault="00B27D20" w:rsidP="00B27D20">
      <w:pPr>
        <w:pStyle w:val="Heading3SS"/>
        <w:ind w:left="0" w:firstLine="0"/>
      </w:pPr>
    </w:p>
    <w:p w14:paraId="2B7A5F95" w14:textId="05B18F6D" w:rsidR="00B27D20" w:rsidRPr="000F6E49" w:rsidRDefault="00B27D20" w:rsidP="00B27D20">
      <w:pPr>
        <w:pStyle w:val="Heading3SS"/>
        <w:ind w:left="0" w:firstLine="0"/>
      </w:pPr>
      <w:r w:rsidRPr="000F6E49">
        <w:t>418.06</w:t>
      </w:r>
      <w:r w:rsidRPr="000F6E49">
        <w:tab/>
        <w:t>MIX DESIGN CRITERIA</w:t>
      </w:r>
    </w:p>
    <w:p w14:paraId="10B1965F" w14:textId="77777777" w:rsidR="00B27D20" w:rsidRPr="000F6E49" w:rsidRDefault="00B27D20" w:rsidP="00B27D20">
      <w:pPr>
        <w:spacing w:line="200" w:lineRule="exact"/>
        <w:rPr>
          <w:rFonts w:cs="Arial"/>
        </w:rPr>
      </w:pPr>
    </w:p>
    <w:p w14:paraId="07E279AE" w14:textId="27726E0D" w:rsidR="00B27D20" w:rsidRPr="000F6E49" w:rsidRDefault="00B27D20" w:rsidP="00B27D20">
      <w:pPr>
        <w:widowControl/>
        <w:tabs>
          <w:tab w:val="left" w:pos="454"/>
        </w:tabs>
        <w:ind w:left="454" w:hanging="454"/>
        <w:rPr>
          <w:rFonts w:cs="Arial"/>
        </w:rPr>
      </w:pPr>
      <w:r w:rsidRPr="000F6E49">
        <w:rPr>
          <w:rFonts w:cs="Arial"/>
        </w:rPr>
        <w:t>(a)</w:t>
      </w:r>
      <w:r w:rsidRPr="000F6E49">
        <w:rPr>
          <w:rFonts w:cs="Arial"/>
        </w:rPr>
        <w:tab/>
        <w:t>The mix design shall comply with the requirements</w:t>
      </w:r>
      <w:r w:rsidR="00872754">
        <w:rPr>
          <w:rFonts w:cs="Arial"/>
        </w:rPr>
        <w:t xml:space="preserve"> of Table 418.061.</w:t>
      </w:r>
    </w:p>
    <w:p w14:paraId="4B9C5515" w14:textId="437EE5DF" w:rsidR="000F120F" w:rsidRPr="000F6E49" w:rsidRDefault="000F120F" w:rsidP="00252213">
      <w:pPr>
        <w:tabs>
          <w:tab w:val="left" w:pos="851"/>
          <w:tab w:val="left" w:pos="1276"/>
        </w:tabs>
        <w:spacing w:line="80" w:lineRule="exact"/>
        <w:rPr>
          <w:rFonts w:cs="Arial"/>
          <w:bCs/>
        </w:rPr>
      </w:pPr>
    </w:p>
    <w:p w14:paraId="496E1B56" w14:textId="77777777" w:rsidR="000F120F" w:rsidRPr="000F6E49" w:rsidRDefault="000F120F" w:rsidP="00252213">
      <w:pPr>
        <w:spacing w:line="180" w:lineRule="exact"/>
        <w:rPr>
          <w:rFonts w:cs="Arial"/>
        </w:rPr>
      </w:pPr>
    </w:p>
    <w:p w14:paraId="201B9E24" w14:textId="3DB525D0" w:rsidR="000F120F" w:rsidRPr="000F6E49" w:rsidRDefault="000F120F" w:rsidP="00DE6342">
      <w:pPr>
        <w:spacing w:after="60"/>
        <w:ind w:left="454"/>
        <w:rPr>
          <w:rFonts w:cs="Arial"/>
          <w:b/>
        </w:rPr>
      </w:pPr>
      <w:r w:rsidRPr="000F6E49">
        <w:rPr>
          <w:rFonts w:cs="Arial"/>
          <w:b/>
        </w:rPr>
        <w:t>Tabl</w:t>
      </w:r>
      <w:r w:rsidR="00D0050C" w:rsidRPr="000F6E49">
        <w:rPr>
          <w:rFonts w:cs="Arial"/>
          <w:b/>
        </w:rPr>
        <w:t>e 418.0</w:t>
      </w:r>
      <w:r w:rsidR="00C90EC3" w:rsidRPr="000F6E49">
        <w:rPr>
          <w:rFonts w:cs="Arial"/>
          <w:b/>
        </w:rPr>
        <w:t>6</w:t>
      </w:r>
      <w:r w:rsidR="00D0050C" w:rsidRPr="000F6E49">
        <w:rPr>
          <w:rFonts w:cs="Arial"/>
          <w:b/>
        </w:rPr>
        <w:t>1  Mix Design Criteria</w:t>
      </w:r>
    </w:p>
    <w:tbl>
      <w:tblPr>
        <w:tblW w:w="0" w:type="auto"/>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85" w:type="dxa"/>
          <w:bottom w:w="57" w:type="dxa"/>
          <w:right w:w="85" w:type="dxa"/>
        </w:tblCellMar>
        <w:tblLook w:val="04A0" w:firstRow="1" w:lastRow="0" w:firstColumn="1" w:lastColumn="0" w:noHBand="0" w:noVBand="1"/>
      </w:tblPr>
      <w:tblGrid>
        <w:gridCol w:w="4677"/>
        <w:gridCol w:w="2127"/>
        <w:gridCol w:w="2084"/>
      </w:tblGrid>
      <w:tr w:rsidR="000F120F" w:rsidRPr="000F6E49" w14:paraId="2EB8DEC6" w14:textId="77777777" w:rsidTr="00F107C1">
        <w:trPr>
          <w:cantSplit/>
        </w:trPr>
        <w:tc>
          <w:tcPr>
            <w:tcW w:w="4677" w:type="dxa"/>
            <w:tcBorders>
              <w:top w:val="single" w:sz="12" w:space="0" w:color="auto"/>
              <w:left w:val="single" w:sz="12" w:space="0" w:color="auto"/>
              <w:bottom w:val="single" w:sz="12" w:space="0" w:color="auto"/>
            </w:tcBorders>
            <w:vAlign w:val="center"/>
          </w:tcPr>
          <w:p w14:paraId="5E8E9422" w14:textId="77777777" w:rsidR="000F120F" w:rsidRPr="000F6E49" w:rsidRDefault="000F120F" w:rsidP="00804DBF">
            <w:pPr>
              <w:jc w:val="center"/>
              <w:rPr>
                <w:rFonts w:cs="Arial"/>
                <w:b/>
              </w:rPr>
            </w:pPr>
            <w:r w:rsidRPr="000F6E49">
              <w:rPr>
                <w:rFonts w:cs="Arial"/>
                <w:b/>
              </w:rPr>
              <w:t>Mix Property</w:t>
            </w:r>
          </w:p>
        </w:tc>
        <w:tc>
          <w:tcPr>
            <w:tcW w:w="2127" w:type="dxa"/>
            <w:tcBorders>
              <w:top w:val="single" w:sz="12" w:space="0" w:color="auto"/>
              <w:bottom w:val="single" w:sz="12" w:space="0" w:color="auto"/>
            </w:tcBorders>
            <w:vAlign w:val="center"/>
          </w:tcPr>
          <w:p w14:paraId="1ED5BA04" w14:textId="77777777" w:rsidR="000F120F" w:rsidRPr="000F6E49" w:rsidRDefault="000F120F" w:rsidP="00804DBF">
            <w:pPr>
              <w:jc w:val="center"/>
              <w:rPr>
                <w:rFonts w:cs="Arial"/>
                <w:b/>
              </w:rPr>
            </w:pPr>
            <w:r w:rsidRPr="000F6E49">
              <w:rPr>
                <w:rFonts w:cs="Arial"/>
                <w:b/>
              </w:rPr>
              <w:t>Test Method</w:t>
            </w:r>
          </w:p>
        </w:tc>
        <w:tc>
          <w:tcPr>
            <w:tcW w:w="2084" w:type="dxa"/>
            <w:tcBorders>
              <w:top w:val="single" w:sz="12" w:space="0" w:color="auto"/>
              <w:bottom w:val="single" w:sz="12" w:space="0" w:color="auto"/>
              <w:right w:val="single" w:sz="12" w:space="0" w:color="auto"/>
            </w:tcBorders>
            <w:vAlign w:val="center"/>
          </w:tcPr>
          <w:p w14:paraId="084DE0E1" w14:textId="77777777" w:rsidR="000F120F" w:rsidRPr="000F6E49" w:rsidRDefault="000F120F" w:rsidP="00804DBF">
            <w:pPr>
              <w:jc w:val="center"/>
              <w:rPr>
                <w:rFonts w:cs="Arial"/>
                <w:b/>
              </w:rPr>
            </w:pPr>
            <w:r w:rsidRPr="000F6E49">
              <w:rPr>
                <w:rFonts w:cs="Arial"/>
                <w:b/>
              </w:rPr>
              <w:t>Value</w:t>
            </w:r>
          </w:p>
        </w:tc>
      </w:tr>
      <w:tr w:rsidR="000F120F" w:rsidRPr="000F6E49" w14:paraId="0B50EAE9" w14:textId="77777777" w:rsidTr="00F107C1">
        <w:trPr>
          <w:cantSplit/>
        </w:trPr>
        <w:tc>
          <w:tcPr>
            <w:tcW w:w="4677" w:type="dxa"/>
            <w:tcBorders>
              <w:top w:val="single" w:sz="12" w:space="0" w:color="auto"/>
              <w:left w:val="single" w:sz="12" w:space="0" w:color="auto"/>
            </w:tcBorders>
            <w:tcMar>
              <w:top w:w="57" w:type="dxa"/>
              <w:bottom w:w="28" w:type="dxa"/>
            </w:tcMar>
          </w:tcPr>
          <w:p w14:paraId="05470CE7" w14:textId="77777777" w:rsidR="000F120F" w:rsidRPr="000F6E49" w:rsidRDefault="000F120F" w:rsidP="00A64B64">
            <w:pPr>
              <w:rPr>
                <w:rFonts w:cs="Arial"/>
                <w:vertAlign w:val="superscript"/>
                <w:lang w:val="en-AU" w:eastAsia="en-AU"/>
              </w:rPr>
            </w:pPr>
            <w:r w:rsidRPr="000F6E49">
              <w:rPr>
                <w:rFonts w:cs="Arial"/>
                <w:lang w:val="en-AU" w:eastAsia="en-AU"/>
              </w:rPr>
              <w:t>Air voids in specimens compacted by gyratory compactor at 100 cycles</w:t>
            </w:r>
          </w:p>
        </w:tc>
        <w:tc>
          <w:tcPr>
            <w:tcW w:w="2127" w:type="dxa"/>
            <w:tcBorders>
              <w:top w:val="single" w:sz="12" w:space="0" w:color="auto"/>
            </w:tcBorders>
            <w:tcMar>
              <w:top w:w="57" w:type="dxa"/>
              <w:bottom w:w="28" w:type="dxa"/>
            </w:tcMar>
            <w:vAlign w:val="center"/>
          </w:tcPr>
          <w:p w14:paraId="11C6AB86" w14:textId="77777777" w:rsidR="000F120F" w:rsidRPr="000F6E49" w:rsidRDefault="000F120F" w:rsidP="00734239">
            <w:pPr>
              <w:jc w:val="center"/>
              <w:rPr>
                <w:rFonts w:cs="Arial"/>
                <w:lang w:val="en-AU" w:eastAsia="en-AU"/>
              </w:rPr>
            </w:pPr>
            <w:r w:rsidRPr="000F6E49">
              <w:rPr>
                <w:rFonts w:cs="Arial"/>
                <w:lang w:val="en-AU" w:eastAsia="en-AU"/>
              </w:rPr>
              <w:t>AS/NZS 2891.2.2</w:t>
            </w:r>
            <w:r w:rsidR="00EC29E0" w:rsidRPr="000F6E49">
              <w:rPr>
                <w:rFonts w:cs="Arial"/>
                <w:lang w:val="en-AU" w:eastAsia="en-AU"/>
              </w:rPr>
              <w:t xml:space="preserve"> </w:t>
            </w:r>
            <w:r w:rsidR="00EC29E0" w:rsidRPr="000F6E49">
              <w:rPr>
                <w:rFonts w:cs="Arial"/>
                <w:b/>
                <w:sz w:val="22"/>
                <w:szCs w:val="22"/>
                <w:vertAlign w:val="superscript"/>
                <w:lang w:val="en-AU" w:eastAsia="en-AU"/>
              </w:rPr>
              <w:t>(</w:t>
            </w:r>
            <w:r w:rsidRPr="000F6E49">
              <w:rPr>
                <w:rFonts w:cs="Arial"/>
                <w:b/>
                <w:sz w:val="22"/>
                <w:szCs w:val="22"/>
                <w:vertAlign w:val="superscript"/>
                <w:lang w:val="en-AU" w:eastAsia="en-AU"/>
              </w:rPr>
              <w:t>2</w:t>
            </w:r>
            <w:r w:rsidR="00EC29E0" w:rsidRPr="000F6E49">
              <w:rPr>
                <w:rFonts w:cs="Arial"/>
                <w:b/>
                <w:sz w:val="22"/>
                <w:szCs w:val="22"/>
                <w:vertAlign w:val="superscript"/>
                <w:lang w:val="en-AU" w:eastAsia="en-AU"/>
              </w:rPr>
              <w:t>)</w:t>
            </w:r>
          </w:p>
        </w:tc>
        <w:tc>
          <w:tcPr>
            <w:tcW w:w="2084" w:type="dxa"/>
            <w:tcBorders>
              <w:top w:val="single" w:sz="12" w:space="0" w:color="auto"/>
              <w:right w:val="single" w:sz="12" w:space="0" w:color="auto"/>
            </w:tcBorders>
            <w:tcMar>
              <w:top w:w="57" w:type="dxa"/>
              <w:bottom w:w="28" w:type="dxa"/>
            </w:tcMar>
            <w:vAlign w:val="center"/>
          </w:tcPr>
          <w:p w14:paraId="0DAEF09A" w14:textId="1E9721BC" w:rsidR="000F120F" w:rsidRPr="000F6E49" w:rsidRDefault="000F120F" w:rsidP="00734239">
            <w:pPr>
              <w:jc w:val="center"/>
              <w:rPr>
                <w:rFonts w:cs="Arial"/>
                <w:lang w:val="en-AU" w:eastAsia="en-AU"/>
              </w:rPr>
            </w:pPr>
            <w:r w:rsidRPr="000F6E49">
              <w:rPr>
                <w:rFonts w:cs="Arial"/>
                <w:lang w:val="en-AU" w:eastAsia="en-AU"/>
              </w:rPr>
              <w:t xml:space="preserve">Max </w:t>
            </w:r>
            <w:r w:rsidR="00061A39" w:rsidRPr="000F6E49">
              <w:rPr>
                <w:rFonts w:cs="Arial"/>
                <w:lang w:val="en-AU" w:eastAsia="en-AU"/>
              </w:rPr>
              <w:t>4.5</w:t>
            </w:r>
            <w:r w:rsidRPr="000F6E49">
              <w:rPr>
                <w:rFonts w:cs="Arial"/>
                <w:lang w:val="en-AU" w:eastAsia="en-AU"/>
              </w:rPr>
              <w:t>%</w:t>
            </w:r>
            <w:r w:rsidR="00EC29E0" w:rsidRPr="000F6E49">
              <w:rPr>
                <w:rFonts w:cs="Arial"/>
                <w:lang w:val="en-AU" w:eastAsia="en-AU"/>
              </w:rPr>
              <w:t xml:space="preserve"> </w:t>
            </w:r>
            <w:r w:rsidR="00EC29E0" w:rsidRPr="000F6E49">
              <w:rPr>
                <w:rFonts w:cs="Arial"/>
                <w:b/>
                <w:sz w:val="22"/>
                <w:szCs w:val="22"/>
                <w:vertAlign w:val="superscript"/>
                <w:lang w:val="en-AU" w:eastAsia="en-AU"/>
              </w:rPr>
              <w:t>(1)</w:t>
            </w:r>
          </w:p>
        </w:tc>
      </w:tr>
      <w:tr w:rsidR="000F120F" w:rsidRPr="000F6E49" w14:paraId="618E433F" w14:textId="77777777" w:rsidTr="00F107C1">
        <w:trPr>
          <w:cantSplit/>
        </w:trPr>
        <w:tc>
          <w:tcPr>
            <w:tcW w:w="4677" w:type="dxa"/>
            <w:tcBorders>
              <w:left w:val="single" w:sz="12" w:space="0" w:color="auto"/>
            </w:tcBorders>
            <w:tcMar>
              <w:top w:w="57" w:type="dxa"/>
              <w:bottom w:w="28" w:type="dxa"/>
            </w:tcMar>
          </w:tcPr>
          <w:p w14:paraId="3A50B181" w14:textId="77777777" w:rsidR="000F120F" w:rsidRPr="000F6E49" w:rsidRDefault="000F120F" w:rsidP="00A64B64">
            <w:pPr>
              <w:rPr>
                <w:rFonts w:cs="Arial"/>
                <w:lang w:val="en-AU" w:eastAsia="en-AU"/>
              </w:rPr>
            </w:pPr>
            <w:r w:rsidRPr="000F6E49">
              <w:rPr>
                <w:rFonts w:cs="Arial"/>
                <w:lang w:val="en-AU" w:eastAsia="en-AU"/>
              </w:rPr>
              <w:t>Water sensitivity</w:t>
            </w:r>
          </w:p>
        </w:tc>
        <w:tc>
          <w:tcPr>
            <w:tcW w:w="2127" w:type="dxa"/>
            <w:tcMar>
              <w:top w:w="57" w:type="dxa"/>
              <w:bottom w:w="28" w:type="dxa"/>
            </w:tcMar>
            <w:vAlign w:val="center"/>
          </w:tcPr>
          <w:p w14:paraId="44B678EE" w14:textId="63AFCC6A" w:rsidR="000F120F" w:rsidRPr="000F6E49" w:rsidRDefault="000F120F" w:rsidP="00734239">
            <w:pPr>
              <w:jc w:val="center"/>
              <w:rPr>
                <w:rFonts w:cs="Arial"/>
                <w:vertAlign w:val="superscript"/>
                <w:lang w:val="en-AU" w:eastAsia="en-AU"/>
              </w:rPr>
            </w:pPr>
            <w:r w:rsidRPr="000F6E49">
              <w:rPr>
                <w:rFonts w:cs="Arial"/>
                <w:lang w:val="en-AU" w:eastAsia="en-AU"/>
              </w:rPr>
              <w:t>A</w:t>
            </w:r>
            <w:r w:rsidR="00734239">
              <w:rPr>
                <w:rFonts w:cs="Arial"/>
                <w:lang w:val="en-AU" w:eastAsia="en-AU"/>
              </w:rPr>
              <w:t xml:space="preserve">TM </w:t>
            </w:r>
            <w:r w:rsidRPr="000F6E49">
              <w:rPr>
                <w:rFonts w:cs="Arial"/>
                <w:lang w:val="en-AU" w:eastAsia="en-AU"/>
              </w:rPr>
              <w:t>T232</w:t>
            </w:r>
            <w:r w:rsidR="001A0F12" w:rsidRPr="000F6E49">
              <w:rPr>
                <w:rFonts w:cs="Arial"/>
                <w:lang w:val="en-AU" w:eastAsia="en-AU"/>
              </w:rPr>
              <w:t xml:space="preserve"> </w:t>
            </w:r>
            <w:r w:rsidR="001A0F12" w:rsidRPr="000F6E49">
              <w:rPr>
                <w:rFonts w:cs="Arial"/>
                <w:b/>
                <w:sz w:val="22"/>
                <w:szCs w:val="22"/>
                <w:vertAlign w:val="superscript"/>
                <w:lang w:val="en-AU" w:eastAsia="en-AU"/>
              </w:rPr>
              <w:t>(3)</w:t>
            </w:r>
          </w:p>
        </w:tc>
        <w:tc>
          <w:tcPr>
            <w:tcW w:w="2084" w:type="dxa"/>
            <w:tcBorders>
              <w:right w:val="single" w:sz="12" w:space="0" w:color="auto"/>
            </w:tcBorders>
            <w:tcMar>
              <w:top w:w="57" w:type="dxa"/>
              <w:bottom w:w="28" w:type="dxa"/>
            </w:tcMar>
            <w:vAlign w:val="center"/>
          </w:tcPr>
          <w:p w14:paraId="274A1ED9" w14:textId="77777777" w:rsidR="000F120F" w:rsidRPr="000F6E49" w:rsidRDefault="000F120F" w:rsidP="00734239">
            <w:pPr>
              <w:jc w:val="center"/>
              <w:rPr>
                <w:rFonts w:cs="Arial"/>
                <w:vertAlign w:val="superscript"/>
                <w:lang w:val="en-AU" w:eastAsia="en-AU"/>
              </w:rPr>
            </w:pPr>
            <w:r w:rsidRPr="000F6E49">
              <w:rPr>
                <w:rFonts w:cs="Arial"/>
                <w:lang w:val="en-AU" w:eastAsia="en-AU"/>
              </w:rPr>
              <w:t>Min 80%</w:t>
            </w:r>
          </w:p>
        </w:tc>
      </w:tr>
      <w:tr w:rsidR="001D4E8A" w:rsidRPr="000F6E49" w14:paraId="1B1550F3" w14:textId="77777777" w:rsidTr="00F107C1">
        <w:trPr>
          <w:cantSplit/>
        </w:trPr>
        <w:tc>
          <w:tcPr>
            <w:tcW w:w="4677" w:type="dxa"/>
            <w:tcBorders>
              <w:left w:val="single" w:sz="12" w:space="0" w:color="auto"/>
            </w:tcBorders>
            <w:tcMar>
              <w:top w:w="57" w:type="dxa"/>
              <w:bottom w:w="28" w:type="dxa"/>
            </w:tcMar>
          </w:tcPr>
          <w:p w14:paraId="46425AD9" w14:textId="69CDECC8" w:rsidR="001D4E8A" w:rsidRPr="000F6E49" w:rsidRDefault="001D4E8A" w:rsidP="00A64B64">
            <w:pPr>
              <w:rPr>
                <w:rFonts w:cs="Arial"/>
                <w:lang w:val="en-AU" w:eastAsia="en-AU"/>
              </w:rPr>
            </w:pPr>
            <w:r w:rsidRPr="000F6E49">
              <w:rPr>
                <w:rFonts w:cs="Arial"/>
                <w:lang w:val="en-AU" w:eastAsia="en-AU"/>
              </w:rPr>
              <w:t xml:space="preserve">Wheel tracking at 60°C and 5,000 cycles (10,000 passes) </w:t>
            </w:r>
            <w:r w:rsidRPr="00734239">
              <w:rPr>
                <w:rFonts w:cs="Arial"/>
                <w:vertAlign w:val="superscript"/>
                <w:lang w:val="en-AU" w:eastAsia="en-AU"/>
              </w:rPr>
              <w:t>(4) (5)</w:t>
            </w:r>
          </w:p>
        </w:tc>
        <w:tc>
          <w:tcPr>
            <w:tcW w:w="2127" w:type="dxa"/>
            <w:tcMar>
              <w:top w:w="57" w:type="dxa"/>
              <w:bottom w:w="28" w:type="dxa"/>
            </w:tcMar>
            <w:vAlign w:val="center"/>
          </w:tcPr>
          <w:p w14:paraId="7AA41012" w14:textId="468E11CA" w:rsidR="001D4E8A" w:rsidRPr="000F6E49" w:rsidRDefault="001D4E8A" w:rsidP="00734239">
            <w:pPr>
              <w:jc w:val="center"/>
              <w:rPr>
                <w:rFonts w:cs="Arial"/>
                <w:lang w:val="en-AU" w:eastAsia="en-AU"/>
              </w:rPr>
            </w:pPr>
            <w:r w:rsidRPr="000F6E49">
              <w:rPr>
                <w:rFonts w:cs="Arial"/>
                <w:lang w:val="en-AU" w:eastAsia="en-AU"/>
              </w:rPr>
              <w:t>AG:PT/231</w:t>
            </w:r>
          </w:p>
        </w:tc>
        <w:tc>
          <w:tcPr>
            <w:tcW w:w="2084" w:type="dxa"/>
            <w:tcBorders>
              <w:right w:val="single" w:sz="12" w:space="0" w:color="auto"/>
            </w:tcBorders>
            <w:tcMar>
              <w:top w:w="57" w:type="dxa"/>
              <w:bottom w:w="28" w:type="dxa"/>
            </w:tcMar>
            <w:vAlign w:val="center"/>
          </w:tcPr>
          <w:p w14:paraId="03096932" w14:textId="69190E6A" w:rsidR="001D4E8A" w:rsidRPr="000F6E49" w:rsidRDefault="001D4E8A" w:rsidP="00734239">
            <w:pPr>
              <w:jc w:val="center"/>
              <w:rPr>
                <w:rFonts w:cs="Arial"/>
                <w:lang w:val="en-AU" w:eastAsia="en-AU"/>
              </w:rPr>
            </w:pPr>
            <w:r w:rsidRPr="000F6E49">
              <w:rPr>
                <w:rFonts w:cs="Arial"/>
                <w:lang w:val="en-AU" w:eastAsia="en-AU"/>
              </w:rPr>
              <w:t>Max 2.0 mm</w:t>
            </w:r>
          </w:p>
        </w:tc>
      </w:tr>
      <w:tr w:rsidR="000F120F" w:rsidRPr="000F6E49" w14:paraId="10AB971D" w14:textId="77777777" w:rsidTr="00F107C1">
        <w:trPr>
          <w:cantSplit/>
        </w:trPr>
        <w:tc>
          <w:tcPr>
            <w:tcW w:w="4677" w:type="dxa"/>
            <w:tcBorders>
              <w:left w:val="single" w:sz="12" w:space="0" w:color="auto"/>
            </w:tcBorders>
            <w:tcMar>
              <w:top w:w="57" w:type="dxa"/>
              <w:bottom w:w="28" w:type="dxa"/>
            </w:tcMar>
          </w:tcPr>
          <w:p w14:paraId="29B6AE9D" w14:textId="77777777" w:rsidR="000F120F" w:rsidRPr="000F6E49" w:rsidRDefault="000F120F" w:rsidP="00A64B64">
            <w:pPr>
              <w:rPr>
                <w:rFonts w:cs="Arial"/>
                <w:vertAlign w:val="superscript"/>
                <w:lang w:val="en-AU" w:eastAsia="en-AU"/>
              </w:rPr>
            </w:pPr>
            <w:r w:rsidRPr="000F6E49">
              <w:rPr>
                <w:rFonts w:cs="Arial"/>
                <w:lang w:val="en-AU" w:eastAsia="en-AU"/>
              </w:rPr>
              <w:t>Wheel tracking at</w:t>
            </w:r>
            <w:r w:rsidR="00804DBF" w:rsidRPr="000F6E49">
              <w:rPr>
                <w:rFonts w:cs="Arial"/>
                <w:lang w:val="en-AU" w:eastAsia="en-AU"/>
              </w:rPr>
              <w:t xml:space="preserve"> 60°C and 30,000</w:t>
            </w:r>
            <w:r w:rsidR="001A0F12" w:rsidRPr="000F6E49">
              <w:rPr>
                <w:rFonts w:cs="Arial"/>
                <w:lang w:val="en-AU" w:eastAsia="en-AU"/>
              </w:rPr>
              <w:t> </w:t>
            </w:r>
            <w:r w:rsidR="00804DBF" w:rsidRPr="000F6E49">
              <w:rPr>
                <w:rFonts w:cs="Arial"/>
                <w:lang w:val="en-AU" w:eastAsia="en-AU"/>
              </w:rPr>
              <w:t>cycles (60,000 </w:t>
            </w:r>
            <w:r w:rsidRPr="000F6E49">
              <w:rPr>
                <w:rFonts w:cs="Arial"/>
                <w:lang w:val="en-AU" w:eastAsia="en-AU"/>
              </w:rPr>
              <w:t>passes)</w:t>
            </w:r>
            <w:r w:rsidR="001A0F12" w:rsidRPr="000F6E49">
              <w:rPr>
                <w:rFonts w:cs="Arial"/>
                <w:lang w:val="en-AU" w:eastAsia="en-AU"/>
              </w:rPr>
              <w:t xml:space="preserve"> </w:t>
            </w:r>
            <w:r w:rsidR="001A0F12" w:rsidRPr="000F6E49">
              <w:rPr>
                <w:rFonts w:cs="Arial"/>
                <w:b/>
                <w:sz w:val="22"/>
                <w:szCs w:val="22"/>
                <w:vertAlign w:val="superscript"/>
                <w:lang w:val="en-AU" w:eastAsia="en-AU"/>
              </w:rPr>
              <w:t>(4)</w:t>
            </w:r>
            <w:r w:rsidR="001A0F12" w:rsidRPr="000F6E49">
              <w:rPr>
                <w:rFonts w:cs="Arial"/>
                <w:lang w:val="en-AU" w:eastAsia="en-AU"/>
              </w:rPr>
              <w:t xml:space="preserve"> </w:t>
            </w:r>
            <w:r w:rsidR="001A0F12" w:rsidRPr="000F6E49">
              <w:rPr>
                <w:rFonts w:cs="Arial"/>
                <w:b/>
                <w:sz w:val="22"/>
                <w:szCs w:val="22"/>
                <w:vertAlign w:val="superscript"/>
                <w:lang w:val="en-AU" w:eastAsia="en-AU"/>
              </w:rPr>
              <w:t>(5)</w:t>
            </w:r>
          </w:p>
        </w:tc>
        <w:tc>
          <w:tcPr>
            <w:tcW w:w="2127" w:type="dxa"/>
            <w:tcMar>
              <w:top w:w="57" w:type="dxa"/>
              <w:bottom w:w="28" w:type="dxa"/>
            </w:tcMar>
            <w:vAlign w:val="center"/>
          </w:tcPr>
          <w:p w14:paraId="605597FF" w14:textId="77777777" w:rsidR="000F120F" w:rsidRPr="000F6E49" w:rsidRDefault="000F120F" w:rsidP="00734239">
            <w:pPr>
              <w:jc w:val="center"/>
              <w:rPr>
                <w:rFonts w:cs="Arial"/>
                <w:vertAlign w:val="superscript"/>
                <w:lang w:val="en-AU" w:eastAsia="en-AU"/>
              </w:rPr>
            </w:pPr>
            <w:r w:rsidRPr="000F6E49">
              <w:rPr>
                <w:rFonts w:cs="Arial"/>
                <w:lang w:val="en-AU" w:eastAsia="en-AU"/>
              </w:rPr>
              <w:t>AG:PT/231</w:t>
            </w:r>
          </w:p>
        </w:tc>
        <w:tc>
          <w:tcPr>
            <w:tcW w:w="2084" w:type="dxa"/>
            <w:tcBorders>
              <w:right w:val="single" w:sz="12" w:space="0" w:color="auto"/>
            </w:tcBorders>
            <w:tcMar>
              <w:top w:w="57" w:type="dxa"/>
              <w:bottom w:w="28" w:type="dxa"/>
            </w:tcMar>
            <w:vAlign w:val="center"/>
          </w:tcPr>
          <w:p w14:paraId="4EB4FF1B" w14:textId="3AAADDC2" w:rsidR="000F120F" w:rsidRPr="000F6E49" w:rsidRDefault="000F120F" w:rsidP="00734239">
            <w:pPr>
              <w:jc w:val="center"/>
              <w:rPr>
                <w:rFonts w:cs="Arial"/>
                <w:vertAlign w:val="superscript"/>
                <w:lang w:val="en-AU" w:eastAsia="en-AU"/>
              </w:rPr>
            </w:pPr>
            <w:r w:rsidRPr="000F6E49">
              <w:rPr>
                <w:rFonts w:cs="Arial"/>
                <w:lang w:val="en-AU" w:eastAsia="en-AU"/>
              </w:rPr>
              <w:t xml:space="preserve">Max </w:t>
            </w:r>
            <w:r w:rsidR="001D4E8A" w:rsidRPr="000F6E49">
              <w:rPr>
                <w:rFonts w:cs="Arial"/>
                <w:lang w:val="en-AU" w:eastAsia="en-AU"/>
              </w:rPr>
              <w:t>4</w:t>
            </w:r>
            <w:r w:rsidRPr="000F6E49">
              <w:rPr>
                <w:rFonts w:cs="Arial"/>
                <w:lang w:val="en-AU" w:eastAsia="en-AU"/>
              </w:rPr>
              <w:t>.0</w:t>
            </w:r>
            <w:r w:rsidR="001A0F12" w:rsidRPr="000F6E49">
              <w:rPr>
                <w:rFonts w:cs="Arial"/>
                <w:lang w:val="en-AU" w:eastAsia="en-AU"/>
              </w:rPr>
              <w:t> </w:t>
            </w:r>
            <w:r w:rsidRPr="000F6E49">
              <w:rPr>
                <w:rFonts w:cs="Arial"/>
                <w:lang w:val="en-AU" w:eastAsia="en-AU"/>
              </w:rPr>
              <w:t>mm</w:t>
            </w:r>
          </w:p>
        </w:tc>
      </w:tr>
      <w:tr w:rsidR="000F120F" w:rsidRPr="000F6E49" w14:paraId="375C0670" w14:textId="77777777" w:rsidTr="00F107C1">
        <w:trPr>
          <w:cantSplit/>
        </w:trPr>
        <w:tc>
          <w:tcPr>
            <w:tcW w:w="4677" w:type="dxa"/>
            <w:tcBorders>
              <w:left w:val="single" w:sz="12" w:space="0" w:color="auto"/>
            </w:tcBorders>
            <w:tcMar>
              <w:top w:w="57" w:type="dxa"/>
              <w:bottom w:w="28" w:type="dxa"/>
            </w:tcMar>
          </w:tcPr>
          <w:p w14:paraId="21D0E105" w14:textId="18B6767E" w:rsidR="000F120F" w:rsidRPr="000F6E49" w:rsidRDefault="000F120F" w:rsidP="00A64B64">
            <w:pPr>
              <w:rPr>
                <w:rFonts w:cs="Arial"/>
                <w:lang w:val="en-AU" w:eastAsia="en-AU"/>
              </w:rPr>
            </w:pPr>
            <w:r w:rsidRPr="000F6E49">
              <w:rPr>
                <w:rFonts w:cs="Arial"/>
                <w:lang w:val="en-AU" w:eastAsia="en-AU"/>
              </w:rPr>
              <w:t>Minimum flexural stiffness at 50</w:t>
            </w:r>
            <w:r w:rsidR="001A0F12" w:rsidRPr="000F6E49">
              <w:rPr>
                <w:rFonts w:cs="Arial"/>
                <w:lang w:val="en-AU" w:eastAsia="en-AU"/>
              </w:rPr>
              <w:t> </w:t>
            </w:r>
            <w:r w:rsidRPr="000F6E49">
              <w:rPr>
                <w:rFonts w:cs="Arial"/>
                <w:lang w:val="en-AU" w:eastAsia="en-AU"/>
              </w:rPr>
              <w:t>±</w:t>
            </w:r>
            <w:r w:rsidR="001A0F12" w:rsidRPr="000F6E49">
              <w:rPr>
                <w:rFonts w:cs="Arial"/>
                <w:lang w:val="en-AU" w:eastAsia="en-AU"/>
              </w:rPr>
              <w:t> </w:t>
            </w:r>
            <w:r w:rsidRPr="000F6E49">
              <w:rPr>
                <w:rFonts w:cs="Arial"/>
                <w:lang w:val="en-AU" w:eastAsia="en-AU"/>
              </w:rPr>
              <w:t>3</w:t>
            </w:r>
            <w:r w:rsidR="001A0F12" w:rsidRPr="000F6E49">
              <w:rPr>
                <w:rFonts w:cs="Arial"/>
                <w:lang w:val="en-AU" w:eastAsia="en-AU"/>
              </w:rPr>
              <w:t> </w:t>
            </w:r>
            <w:r w:rsidRPr="000F6E49">
              <w:rPr>
                <w:rFonts w:cs="Arial"/>
                <w:lang w:val="en-AU" w:eastAsia="en-AU"/>
              </w:rPr>
              <w:t>µ</w:t>
            </w:r>
            <w:r w:rsidRPr="000F6E49">
              <w:rPr>
                <w:rFonts w:cs="Arial"/>
                <w:lang w:val="en-AU" w:eastAsia="en-AU"/>
              </w:rPr>
              <w:sym w:font="Symbol" w:char="F065"/>
            </w:r>
            <w:r w:rsidRPr="000F6E49">
              <w:rPr>
                <w:rFonts w:cs="Arial"/>
                <w:lang w:val="en-AU" w:eastAsia="en-AU"/>
              </w:rPr>
              <w:t>, 15°C and 10 Hz</w:t>
            </w:r>
            <w:r w:rsidR="001A0F12" w:rsidRPr="000F6E49">
              <w:rPr>
                <w:rFonts w:cs="Arial"/>
                <w:lang w:val="en-AU" w:eastAsia="en-AU"/>
              </w:rPr>
              <w:t xml:space="preserve"> </w:t>
            </w:r>
            <w:r w:rsidR="001A0F12" w:rsidRPr="000F6E49">
              <w:rPr>
                <w:rFonts w:cs="Arial"/>
                <w:b/>
                <w:sz w:val="22"/>
                <w:szCs w:val="22"/>
                <w:vertAlign w:val="superscript"/>
                <w:lang w:val="en-AU" w:eastAsia="en-AU"/>
              </w:rPr>
              <w:t>(4)</w:t>
            </w:r>
            <w:r w:rsidR="001A0F12" w:rsidRPr="000F6E49">
              <w:rPr>
                <w:rFonts w:cs="Arial"/>
                <w:lang w:val="en-AU" w:eastAsia="en-AU"/>
              </w:rPr>
              <w:t xml:space="preserve"> </w:t>
            </w:r>
            <w:r w:rsidR="001A0F12" w:rsidRPr="000F6E49">
              <w:rPr>
                <w:rFonts w:cs="Arial"/>
                <w:b/>
                <w:sz w:val="22"/>
                <w:szCs w:val="22"/>
                <w:vertAlign w:val="superscript"/>
                <w:lang w:val="en-AU" w:eastAsia="en-AU"/>
              </w:rPr>
              <w:t>(6)</w:t>
            </w:r>
            <w:r w:rsidR="001A0F12" w:rsidRPr="000F6E49">
              <w:rPr>
                <w:rFonts w:cs="Arial"/>
                <w:lang w:val="en-AU" w:eastAsia="en-AU"/>
              </w:rPr>
              <w:t xml:space="preserve"> </w:t>
            </w:r>
            <w:r w:rsidR="001A0F12" w:rsidRPr="000F6E49">
              <w:rPr>
                <w:rFonts w:cs="Arial"/>
                <w:b/>
                <w:sz w:val="22"/>
                <w:szCs w:val="22"/>
                <w:vertAlign w:val="superscript"/>
                <w:lang w:val="en-AU" w:eastAsia="en-AU"/>
              </w:rPr>
              <w:t>(7)</w:t>
            </w:r>
            <w:r w:rsidR="004720DD">
              <w:rPr>
                <w:rFonts w:cs="Arial"/>
                <w:b/>
                <w:sz w:val="22"/>
                <w:szCs w:val="22"/>
                <w:vertAlign w:val="superscript"/>
                <w:lang w:val="en-AU" w:eastAsia="en-AU"/>
              </w:rPr>
              <w:t xml:space="preserve"> (9)</w:t>
            </w:r>
          </w:p>
        </w:tc>
        <w:tc>
          <w:tcPr>
            <w:tcW w:w="2127" w:type="dxa"/>
            <w:tcMar>
              <w:top w:w="57" w:type="dxa"/>
              <w:bottom w:w="28" w:type="dxa"/>
            </w:tcMar>
            <w:vAlign w:val="center"/>
          </w:tcPr>
          <w:p w14:paraId="65553A1B" w14:textId="77777777" w:rsidR="000F120F" w:rsidRPr="000F6E49" w:rsidRDefault="000F120F" w:rsidP="00734239">
            <w:pPr>
              <w:jc w:val="center"/>
              <w:rPr>
                <w:rFonts w:cs="Arial"/>
                <w:vertAlign w:val="superscript"/>
                <w:lang w:val="en-AU" w:eastAsia="en-AU"/>
              </w:rPr>
            </w:pPr>
            <w:r w:rsidRPr="000F6E49">
              <w:rPr>
                <w:rFonts w:cs="Arial"/>
                <w:lang w:val="en-AU" w:eastAsia="en-AU"/>
              </w:rPr>
              <w:t>AG:PT/T274</w:t>
            </w:r>
          </w:p>
        </w:tc>
        <w:tc>
          <w:tcPr>
            <w:tcW w:w="2084" w:type="dxa"/>
            <w:tcBorders>
              <w:right w:val="single" w:sz="12" w:space="0" w:color="auto"/>
            </w:tcBorders>
            <w:tcMar>
              <w:top w:w="57" w:type="dxa"/>
              <w:bottom w:w="28" w:type="dxa"/>
            </w:tcMar>
            <w:vAlign w:val="center"/>
          </w:tcPr>
          <w:p w14:paraId="11A30DFB" w14:textId="77777777" w:rsidR="000F120F" w:rsidRPr="000F6E49" w:rsidRDefault="000F120F" w:rsidP="00734239">
            <w:pPr>
              <w:jc w:val="center"/>
              <w:rPr>
                <w:rFonts w:cs="Arial"/>
                <w:vertAlign w:val="superscript"/>
                <w:lang w:val="en-AU" w:eastAsia="en-AU"/>
              </w:rPr>
            </w:pPr>
            <w:r w:rsidRPr="000F6E49">
              <w:rPr>
                <w:rFonts w:cs="Arial"/>
                <w:lang w:val="en-AU" w:eastAsia="en-AU"/>
              </w:rPr>
              <w:t>Min 14,000</w:t>
            </w:r>
            <w:r w:rsidR="001A0F12" w:rsidRPr="000F6E49">
              <w:rPr>
                <w:rFonts w:cs="Arial"/>
                <w:lang w:val="en-AU" w:eastAsia="en-AU"/>
              </w:rPr>
              <w:t> </w:t>
            </w:r>
            <w:r w:rsidRPr="000F6E49">
              <w:rPr>
                <w:rFonts w:cs="Arial"/>
                <w:lang w:val="en-AU" w:eastAsia="en-AU"/>
              </w:rPr>
              <w:t>MPa</w:t>
            </w:r>
          </w:p>
        </w:tc>
      </w:tr>
      <w:tr w:rsidR="000F120F" w:rsidRPr="000F6E49" w14:paraId="0559C57D" w14:textId="77777777" w:rsidTr="00F107C1">
        <w:trPr>
          <w:cantSplit/>
        </w:trPr>
        <w:tc>
          <w:tcPr>
            <w:tcW w:w="4677" w:type="dxa"/>
            <w:tcBorders>
              <w:left w:val="single" w:sz="12" w:space="0" w:color="auto"/>
            </w:tcBorders>
            <w:tcMar>
              <w:top w:w="57" w:type="dxa"/>
              <w:bottom w:w="28" w:type="dxa"/>
            </w:tcMar>
          </w:tcPr>
          <w:p w14:paraId="606FCFA0" w14:textId="77777777" w:rsidR="000F120F" w:rsidRPr="000F6E49" w:rsidRDefault="000F120F" w:rsidP="00A64B64">
            <w:pPr>
              <w:rPr>
                <w:rFonts w:cs="Arial"/>
                <w:lang w:val="en-AU" w:eastAsia="en-AU"/>
              </w:rPr>
            </w:pPr>
            <w:r w:rsidRPr="000F6E49">
              <w:rPr>
                <w:rFonts w:cs="Arial"/>
                <w:lang w:val="en-AU" w:eastAsia="en-AU"/>
              </w:rPr>
              <w:t>Fatigue resistance</w:t>
            </w:r>
          </w:p>
          <w:p w14:paraId="3C7D1E44" w14:textId="6611EED0" w:rsidR="000F120F" w:rsidRPr="000F6E49" w:rsidRDefault="000F120F" w:rsidP="00A64B64">
            <w:pPr>
              <w:rPr>
                <w:rFonts w:cs="Arial"/>
                <w:lang w:val="en-AU" w:eastAsia="en-AU"/>
              </w:rPr>
            </w:pPr>
            <w:r w:rsidRPr="000F6E49">
              <w:rPr>
                <w:rFonts w:cs="Arial"/>
                <w:lang w:val="en-AU" w:eastAsia="en-AU"/>
              </w:rPr>
              <w:t>at</w:t>
            </w:r>
            <w:r w:rsidR="001A0F12" w:rsidRPr="000F6E49">
              <w:rPr>
                <w:rFonts w:cs="Arial"/>
                <w:lang w:val="en-AU" w:eastAsia="en-AU"/>
              </w:rPr>
              <w:t> </w:t>
            </w:r>
            <w:r w:rsidRPr="000F6E49">
              <w:rPr>
                <w:rFonts w:cs="Arial"/>
                <w:lang w:val="en-AU" w:eastAsia="en-AU"/>
              </w:rPr>
              <w:t>20°C, 10 Hz and 1</w:t>
            </w:r>
            <w:r w:rsidR="001A0F12" w:rsidRPr="000F6E49">
              <w:rPr>
                <w:rFonts w:cs="Arial"/>
                <w:lang w:val="en-AU" w:eastAsia="en-AU"/>
              </w:rPr>
              <w:t> </w:t>
            </w:r>
            <w:r w:rsidRPr="000F6E49">
              <w:rPr>
                <w:rFonts w:cs="Arial"/>
                <w:lang w:val="en-AU" w:eastAsia="en-AU"/>
              </w:rPr>
              <w:t>million cycles</w:t>
            </w:r>
            <w:r w:rsidR="001A0F12" w:rsidRPr="000F6E49">
              <w:rPr>
                <w:rFonts w:cs="Arial"/>
                <w:lang w:val="en-AU" w:eastAsia="en-AU"/>
              </w:rPr>
              <w:t xml:space="preserve"> </w:t>
            </w:r>
            <w:r w:rsidR="001A0F12" w:rsidRPr="000F6E49">
              <w:rPr>
                <w:rFonts w:cs="Arial"/>
                <w:b/>
                <w:sz w:val="22"/>
                <w:szCs w:val="22"/>
                <w:vertAlign w:val="superscript"/>
                <w:lang w:val="en-AU" w:eastAsia="en-AU"/>
              </w:rPr>
              <w:t>(4)</w:t>
            </w:r>
            <w:r w:rsidR="001A0F12" w:rsidRPr="000F6E49">
              <w:rPr>
                <w:rFonts w:cs="Arial"/>
                <w:lang w:val="en-AU" w:eastAsia="en-AU"/>
              </w:rPr>
              <w:t xml:space="preserve"> </w:t>
            </w:r>
            <w:r w:rsidR="001A0F12" w:rsidRPr="000F6E49">
              <w:rPr>
                <w:rFonts w:cs="Arial"/>
                <w:b/>
                <w:sz w:val="22"/>
                <w:szCs w:val="22"/>
                <w:vertAlign w:val="superscript"/>
                <w:lang w:val="en-AU" w:eastAsia="en-AU"/>
              </w:rPr>
              <w:t>(6)</w:t>
            </w:r>
            <w:r w:rsidR="003A4FF4">
              <w:rPr>
                <w:rFonts w:cs="Arial"/>
                <w:b/>
                <w:sz w:val="22"/>
                <w:szCs w:val="22"/>
                <w:vertAlign w:val="superscript"/>
                <w:lang w:val="en-AU" w:eastAsia="en-AU"/>
              </w:rPr>
              <w:t xml:space="preserve"> (9)</w:t>
            </w:r>
          </w:p>
        </w:tc>
        <w:tc>
          <w:tcPr>
            <w:tcW w:w="2127" w:type="dxa"/>
            <w:tcMar>
              <w:top w:w="57" w:type="dxa"/>
              <w:bottom w:w="28" w:type="dxa"/>
            </w:tcMar>
            <w:vAlign w:val="center"/>
          </w:tcPr>
          <w:p w14:paraId="26FEFB2F" w14:textId="77777777" w:rsidR="000F120F" w:rsidRPr="000F6E49" w:rsidRDefault="000F120F" w:rsidP="00734239">
            <w:pPr>
              <w:jc w:val="center"/>
              <w:rPr>
                <w:rFonts w:cs="Arial"/>
                <w:vertAlign w:val="superscript"/>
                <w:lang w:val="en-AU" w:eastAsia="en-AU"/>
              </w:rPr>
            </w:pPr>
            <w:r w:rsidRPr="000F6E49">
              <w:rPr>
                <w:rFonts w:cs="Arial"/>
                <w:lang w:val="en-AU" w:eastAsia="en-AU"/>
              </w:rPr>
              <w:t>AG:PT/T274</w:t>
            </w:r>
          </w:p>
        </w:tc>
        <w:tc>
          <w:tcPr>
            <w:tcW w:w="2084" w:type="dxa"/>
            <w:tcBorders>
              <w:right w:val="single" w:sz="12" w:space="0" w:color="auto"/>
            </w:tcBorders>
            <w:tcMar>
              <w:top w:w="57" w:type="dxa"/>
              <w:bottom w:w="28" w:type="dxa"/>
            </w:tcMar>
            <w:vAlign w:val="center"/>
          </w:tcPr>
          <w:p w14:paraId="1EF703CE" w14:textId="77777777" w:rsidR="000F120F" w:rsidRPr="000F6E49" w:rsidRDefault="000F120F" w:rsidP="00734239">
            <w:pPr>
              <w:jc w:val="center"/>
              <w:rPr>
                <w:rFonts w:cs="Arial"/>
                <w:vertAlign w:val="superscript"/>
                <w:lang w:val="en-AU" w:eastAsia="en-AU"/>
              </w:rPr>
            </w:pPr>
            <w:r w:rsidRPr="000F6E49">
              <w:rPr>
                <w:rFonts w:cs="Arial"/>
                <w:lang w:val="en-AU" w:eastAsia="en-AU"/>
              </w:rPr>
              <w:t>Min</w:t>
            </w:r>
            <w:r w:rsidR="001A0F12" w:rsidRPr="000F6E49">
              <w:rPr>
                <w:rFonts w:cs="Arial"/>
                <w:lang w:val="en-AU" w:eastAsia="en-AU"/>
              </w:rPr>
              <w:t> </w:t>
            </w:r>
            <w:r w:rsidRPr="000F6E49">
              <w:rPr>
                <w:rFonts w:cs="Arial"/>
                <w:lang w:val="en-AU" w:eastAsia="en-AU"/>
              </w:rPr>
              <w:t>150με</w:t>
            </w:r>
          </w:p>
        </w:tc>
      </w:tr>
      <w:tr w:rsidR="000F120F" w:rsidRPr="000F6E49" w14:paraId="1FE30BC1" w14:textId="77777777" w:rsidTr="00F107C1">
        <w:trPr>
          <w:cantSplit/>
        </w:trPr>
        <w:tc>
          <w:tcPr>
            <w:tcW w:w="4677" w:type="dxa"/>
            <w:tcBorders>
              <w:left w:val="single" w:sz="12" w:space="0" w:color="auto"/>
            </w:tcBorders>
            <w:tcMar>
              <w:top w:w="57" w:type="dxa"/>
              <w:bottom w:w="28" w:type="dxa"/>
            </w:tcMar>
          </w:tcPr>
          <w:p w14:paraId="5FFA031B" w14:textId="77777777" w:rsidR="000F120F" w:rsidRPr="000F6E49" w:rsidRDefault="000F120F" w:rsidP="00A64B64">
            <w:pPr>
              <w:rPr>
                <w:rFonts w:cs="Arial"/>
                <w:lang w:val="en-AU" w:eastAsia="en-AU"/>
              </w:rPr>
            </w:pPr>
            <w:r w:rsidRPr="000F6E49">
              <w:rPr>
                <w:rFonts w:cs="Arial"/>
                <w:lang w:val="en-AU" w:eastAsia="en-AU"/>
              </w:rPr>
              <w:t>Indirect Tensile Modulus</w:t>
            </w:r>
          </w:p>
        </w:tc>
        <w:tc>
          <w:tcPr>
            <w:tcW w:w="2127" w:type="dxa"/>
            <w:tcMar>
              <w:top w:w="57" w:type="dxa"/>
              <w:bottom w:w="28" w:type="dxa"/>
            </w:tcMar>
            <w:vAlign w:val="center"/>
          </w:tcPr>
          <w:p w14:paraId="15561394" w14:textId="1A7369C5" w:rsidR="000F120F" w:rsidRPr="000F6E49" w:rsidRDefault="001A0F12" w:rsidP="00734239">
            <w:pPr>
              <w:jc w:val="center"/>
              <w:rPr>
                <w:rFonts w:cs="Arial"/>
                <w:lang w:val="en-AU" w:eastAsia="en-AU"/>
              </w:rPr>
            </w:pPr>
            <w:r w:rsidRPr="000F6E49">
              <w:rPr>
                <w:rFonts w:cs="Arial"/>
                <w:lang w:val="en-AU" w:eastAsia="en-AU"/>
              </w:rPr>
              <w:t>AS</w:t>
            </w:r>
            <w:r w:rsidR="002034CB" w:rsidRPr="000F6E49">
              <w:rPr>
                <w:rFonts w:cs="Arial"/>
                <w:lang w:val="en-AU" w:eastAsia="en-AU"/>
              </w:rPr>
              <w:t>/NZS</w:t>
            </w:r>
            <w:r w:rsidRPr="000F6E49">
              <w:rPr>
                <w:rFonts w:cs="Arial"/>
                <w:lang w:val="en-AU" w:eastAsia="en-AU"/>
              </w:rPr>
              <w:t> </w:t>
            </w:r>
            <w:r w:rsidR="000F120F" w:rsidRPr="000F6E49">
              <w:rPr>
                <w:rFonts w:cs="Arial"/>
                <w:lang w:val="en-AU" w:eastAsia="en-AU"/>
              </w:rPr>
              <w:t>2891.13.1</w:t>
            </w:r>
          </w:p>
        </w:tc>
        <w:tc>
          <w:tcPr>
            <w:tcW w:w="2084" w:type="dxa"/>
            <w:tcBorders>
              <w:right w:val="single" w:sz="12" w:space="0" w:color="auto"/>
            </w:tcBorders>
            <w:tcMar>
              <w:top w:w="57" w:type="dxa"/>
              <w:bottom w:w="28" w:type="dxa"/>
            </w:tcMar>
            <w:vAlign w:val="center"/>
          </w:tcPr>
          <w:p w14:paraId="2239D668" w14:textId="0A9EC775" w:rsidR="000F120F" w:rsidRPr="000F6E49" w:rsidRDefault="00293C65" w:rsidP="00734239">
            <w:pPr>
              <w:jc w:val="center"/>
              <w:rPr>
                <w:rFonts w:cs="Arial"/>
                <w:lang w:val="en-AU" w:eastAsia="en-AU"/>
              </w:rPr>
            </w:pPr>
            <w:r w:rsidRPr="000F6E49">
              <w:rPr>
                <w:rFonts w:cs="Arial"/>
                <w:lang w:val="en-AU" w:eastAsia="en-AU"/>
              </w:rPr>
              <w:t>Report</w:t>
            </w:r>
          </w:p>
        </w:tc>
      </w:tr>
      <w:tr w:rsidR="000F120F" w:rsidRPr="000F6E49" w14:paraId="478B43B8" w14:textId="77777777" w:rsidTr="00F107C1">
        <w:trPr>
          <w:cantSplit/>
        </w:trPr>
        <w:tc>
          <w:tcPr>
            <w:tcW w:w="4677" w:type="dxa"/>
            <w:tcBorders>
              <w:left w:val="single" w:sz="12" w:space="0" w:color="auto"/>
              <w:bottom w:val="single" w:sz="12" w:space="0" w:color="auto"/>
            </w:tcBorders>
            <w:tcMar>
              <w:top w:w="57" w:type="dxa"/>
              <w:bottom w:w="28" w:type="dxa"/>
            </w:tcMar>
          </w:tcPr>
          <w:p w14:paraId="6446B8E3" w14:textId="77777777" w:rsidR="000F120F" w:rsidRPr="000F6E49" w:rsidRDefault="000F120F" w:rsidP="00A64B64">
            <w:pPr>
              <w:rPr>
                <w:rFonts w:cs="Arial"/>
                <w:lang w:val="en-AU" w:eastAsia="en-AU"/>
              </w:rPr>
            </w:pPr>
            <w:r w:rsidRPr="000F6E49">
              <w:rPr>
                <w:rFonts w:cs="Arial"/>
                <w:lang w:val="en-AU" w:eastAsia="en-AU"/>
              </w:rPr>
              <w:t>Richness modulus</w:t>
            </w:r>
            <w:r w:rsidR="001A0F12" w:rsidRPr="000F6E49">
              <w:rPr>
                <w:rFonts w:cs="Arial"/>
                <w:lang w:val="en-AU" w:eastAsia="en-AU"/>
              </w:rPr>
              <w:t xml:space="preserve"> </w:t>
            </w:r>
            <w:r w:rsidR="001A0F12" w:rsidRPr="000F6E49">
              <w:rPr>
                <w:rFonts w:cs="Arial"/>
                <w:b/>
                <w:sz w:val="22"/>
                <w:szCs w:val="22"/>
                <w:vertAlign w:val="superscript"/>
                <w:lang w:val="en-AU" w:eastAsia="en-AU"/>
              </w:rPr>
              <w:t>(8)</w:t>
            </w:r>
          </w:p>
        </w:tc>
        <w:tc>
          <w:tcPr>
            <w:tcW w:w="2127" w:type="dxa"/>
            <w:tcBorders>
              <w:bottom w:val="single" w:sz="12" w:space="0" w:color="auto"/>
            </w:tcBorders>
            <w:tcMar>
              <w:top w:w="57" w:type="dxa"/>
              <w:bottom w:w="28" w:type="dxa"/>
            </w:tcMar>
            <w:vAlign w:val="center"/>
          </w:tcPr>
          <w:p w14:paraId="082FCB23" w14:textId="6BF4ABDB" w:rsidR="000F120F" w:rsidRPr="000F6E49" w:rsidRDefault="00872754" w:rsidP="00734239">
            <w:pPr>
              <w:jc w:val="center"/>
              <w:rPr>
                <w:rFonts w:cs="Arial"/>
                <w:lang w:val="en-AU" w:eastAsia="en-AU"/>
              </w:rPr>
            </w:pPr>
            <w:r>
              <w:rPr>
                <w:rFonts w:cs="Arial"/>
                <w:lang w:val="en-AU" w:eastAsia="en-AU"/>
              </w:rPr>
              <w:t>-</w:t>
            </w:r>
          </w:p>
        </w:tc>
        <w:tc>
          <w:tcPr>
            <w:tcW w:w="2084" w:type="dxa"/>
            <w:tcBorders>
              <w:bottom w:val="single" w:sz="12" w:space="0" w:color="auto"/>
              <w:right w:val="single" w:sz="12" w:space="0" w:color="auto"/>
            </w:tcBorders>
            <w:tcMar>
              <w:top w:w="57" w:type="dxa"/>
              <w:bottom w:w="28" w:type="dxa"/>
            </w:tcMar>
            <w:vAlign w:val="center"/>
          </w:tcPr>
          <w:p w14:paraId="2C90BC0F" w14:textId="77777777" w:rsidR="000F120F" w:rsidRPr="000F6E49" w:rsidRDefault="000F120F" w:rsidP="00734239">
            <w:pPr>
              <w:jc w:val="center"/>
              <w:rPr>
                <w:rFonts w:cs="Arial"/>
                <w:vertAlign w:val="superscript"/>
                <w:lang w:val="en-AU" w:eastAsia="en-AU"/>
              </w:rPr>
            </w:pPr>
            <w:r w:rsidRPr="000F6E49">
              <w:rPr>
                <w:rFonts w:cs="Arial"/>
                <w:lang w:val="en-AU" w:eastAsia="en-AU"/>
              </w:rPr>
              <w:t>Min</w:t>
            </w:r>
            <w:r w:rsidR="001A0F12" w:rsidRPr="000F6E49">
              <w:rPr>
                <w:rFonts w:cs="Arial"/>
                <w:lang w:val="en-AU" w:eastAsia="en-AU"/>
              </w:rPr>
              <w:t> </w:t>
            </w:r>
            <w:r w:rsidRPr="000F6E49">
              <w:rPr>
                <w:rFonts w:cs="Arial"/>
                <w:lang w:val="en-AU" w:eastAsia="en-AU"/>
              </w:rPr>
              <w:t>3.4</w:t>
            </w:r>
          </w:p>
        </w:tc>
      </w:tr>
    </w:tbl>
    <w:p w14:paraId="5E8606FC" w14:textId="6E4D4856" w:rsidR="009F0161" w:rsidRDefault="009F0161" w:rsidP="00F107C1">
      <w:pPr>
        <w:rPr>
          <w:rFonts w:cs="Arial"/>
          <w:sz w:val="18"/>
          <w:szCs w:val="18"/>
        </w:rPr>
      </w:pPr>
    </w:p>
    <w:p w14:paraId="11092448" w14:textId="5C60A39E" w:rsidR="00734239" w:rsidRPr="00734239" w:rsidRDefault="00734239" w:rsidP="00982F55">
      <w:pPr>
        <w:widowControl/>
        <w:tabs>
          <w:tab w:val="left" w:pos="426"/>
        </w:tabs>
        <w:spacing w:after="60"/>
        <w:ind w:left="782" w:hanging="357"/>
        <w:rPr>
          <w:rFonts w:cs="Arial"/>
          <w:sz w:val="18"/>
          <w:szCs w:val="18"/>
        </w:rPr>
      </w:pPr>
      <w:r>
        <w:rPr>
          <w:rFonts w:cs="Arial"/>
          <w:sz w:val="18"/>
          <w:szCs w:val="18"/>
        </w:rPr>
        <w:tab/>
      </w:r>
      <w:r w:rsidRPr="00771236">
        <w:rPr>
          <w:rFonts w:cs="Arial"/>
          <w:b/>
          <w:bCs/>
          <w:sz w:val="18"/>
          <w:szCs w:val="18"/>
        </w:rPr>
        <w:t>Notes</w:t>
      </w:r>
      <w:r w:rsidR="00072069" w:rsidRPr="00771236">
        <w:rPr>
          <w:rFonts w:cs="Arial"/>
          <w:b/>
          <w:bCs/>
          <w:sz w:val="18"/>
          <w:szCs w:val="18"/>
        </w:rPr>
        <w:t xml:space="preserve"> to Table 418.061</w:t>
      </w:r>
      <w:r w:rsidR="00771236">
        <w:rPr>
          <w:rFonts w:cs="Arial"/>
          <w:sz w:val="18"/>
          <w:szCs w:val="18"/>
        </w:rPr>
        <w:t>:</w:t>
      </w:r>
    </w:p>
    <w:p w14:paraId="643CB35C" w14:textId="01901D49" w:rsidR="00734239" w:rsidRPr="007C7DE2" w:rsidRDefault="00734239" w:rsidP="00982F55">
      <w:pPr>
        <w:pStyle w:val="ListParagraph"/>
        <w:numPr>
          <w:ilvl w:val="0"/>
          <w:numId w:val="29"/>
        </w:numPr>
        <w:tabs>
          <w:tab w:val="left" w:pos="426"/>
        </w:tabs>
        <w:spacing w:after="60"/>
        <w:ind w:left="782" w:hanging="357"/>
        <w:contextualSpacing w:val="0"/>
        <w:rPr>
          <w:rFonts w:ascii="Arial" w:hAnsi="Arial" w:cs="Arial"/>
          <w:sz w:val="18"/>
          <w:szCs w:val="18"/>
        </w:rPr>
      </w:pPr>
      <w:r w:rsidRPr="007C7DE2">
        <w:rPr>
          <w:rFonts w:ascii="Arial" w:hAnsi="Arial" w:cs="Arial"/>
          <w:sz w:val="18"/>
          <w:szCs w:val="18"/>
        </w:rPr>
        <w:t xml:space="preserve">Bulk density of gyratory compacted specimens shall be determined by </w:t>
      </w:r>
      <w:proofErr w:type="spellStart"/>
      <w:r w:rsidRPr="007C7DE2">
        <w:rPr>
          <w:rFonts w:ascii="Arial" w:hAnsi="Arial" w:cs="Arial"/>
          <w:sz w:val="18"/>
          <w:szCs w:val="18"/>
        </w:rPr>
        <w:t>presaturation</w:t>
      </w:r>
      <w:proofErr w:type="spellEnd"/>
      <w:r w:rsidRPr="007C7DE2">
        <w:rPr>
          <w:rFonts w:ascii="Arial" w:hAnsi="Arial" w:cs="Arial"/>
          <w:sz w:val="18"/>
          <w:szCs w:val="18"/>
        </w:rPr>
        <w:t xml:space="preserve"> in accordance with AS/NZS 2891.9.2. This property shall be determined from the average of three (minimum) test specimens. The Contractor shall also report the bulk density of gyratory compacted specimens determined by mensuration in accordance with AS/NZS 2891.9.3.</w:t>
      </w:r>
    </w:p>
    <w:p w14:paraId="07B9AD43" w14:textId="03E4B625" w:rsidR="00734239" w:rsidRPr="007C7DE2" w:rsidRDefault="00734239" w:rsidP="00627A3D">
      <w:pPr>
        <w:pStyle w:val="ListParagraph"/>
        <w:numPr>
          <w:ilvl w:val="0"/>
          <w:numId w:val="29"/>
        </w:numPr>
        <w:tabs>
          <w:tab w:val="left" w:pos="426"/>
        </w:tabs>
        <w:spacing w:before="120"/>
        <w:ind w:left="782" w:hanging="357"/>
        <w:contextualSpacing w:val="0"/>
        <w:rPr>
          <w:rFonts w:ascii="Arial" w:hAnsi="Arial" w:cs="Arial"/>
          <w:sz w:val="18"/>
          <w:szCs w:val="18"/>
        </w:rPr>
      </w:pPr>
      <w:r w:rsidRPr="007C7DE2">
        <w:rPr>
          <w:rFonts w:ascii="Arial" w:hAnsi="Arial" w:cs="Arial"/>
          <w:sz w:val="18"/>
          <w:szCs w:val="18"/>
        </w:rPr>
        <w:t>Test parameters for AS/NZS 2891.2.2 shall be as follows:  Vertical loading stress of 600 ±18 kPa, gyratory angle (internal) of 0.82 ±0.02 and a rate of gyration of 30 ±0.5 revolutions per minute.  Specimens should have a diameter of 150 mm and a thickness between 100 mm and 150 mm.  Laboratory compaction temperature for preparing test specimens shall be determined in accordance with AS 2891.2.2, Appendix A.</w:t>
      </w:r>
    </w:p>
    <w:p w14:paraId="793898D6" w14:textId="25CB60F6" w:rsidR="00734239" w:rsidRPr="007C7DE2" w:rsidRDefault="00734239" w:rsidP="00627A3D">
      <w:pPr>
        <w:pStyle w:val="ListParagraph"/>
        <w:numPr>
          <w:ilvl w:val="0"/>
          <w:numId w:val="29"/>
        </w:numPr>
        <w:tabs>
          <w:tab w:val="left" w:pos="426"/>
        </w:tabs>
        <w:spacing w:before="120"/>
        <w:ind w:left="782" w:hanging="357"/>
        <w:contextualSpacing w:val="0"/>
        <w:rPr>
          <w:rFonts w:ascii="Arial" w:hAnsi="Arial" w:cs="Arial"/>
          <w:sz w:val="18"/>
          <w:szCs w:val="18"/>
        </w:rPr>
      </w:pPr>
      <w:r w:rsidRPr="007C7DE2">
        <w:rPr>
          <w:rFonts w:ascii="Arial" w:hAnsi="Arial" w:cs="Arial"/>
          <w:sz w:val="18"/>
          <w:szCs w:val="18"/>
        </w:rPr>
        <w:t>The freeze/thaw moisture conditioning of specimens detailed in ATM T232 shall be undertaken.</w:t>
      </w:r>
    </w:p>
    <w:p w14:paraId="0B4C3E1C" w14:textId="6DEE6004" w:rsidR="00734239" w:rsidRPr="007C7DE2" w:rsidRDefault="00734239" w:rsidP="00627A3D">
      <w:pPr>
        <w:pStyle w:val="ListParagraph"/>
        <w:numPr>
          <w:ilvl w:val="0"/>
          <w:numId w:val="29"/>
        </w:numPr>
        <w:tabs>
          <w:tab w:val="left" w:pos="426"/>
        </w:tabs>
        <w:spacing w:before="120"/>
        <w:ind w:left="782" w:hanging="357"/>
        <w:contextualSpacing w:val="0"/>
        <w:rPr>
          <w:rFonts w:ascii="Arial" w:hAnsi="Arial" w:cs="Arial"/>
          <w:sz w:val="18"/>
          <w:szCs w:val="18"/>
        </w:rPr>
      </w:pPr>
      <w:r w:rsidRPr="007C7DE2">
        <w:rPr>
          <w:rFonts w:ascii="Arial" w:hAnsi="Arial" w:cs="Arial"/>
          <w:sz w:val="18"/>
          <w:szCs w:val="18"/>
        </w:rPr>
        <w:t>Specimens shall be compacted to an air void content between 1.5 – 4.5% where the bulk density is determined in accordance with AS 2891.9.2.(</w:t>
      </w:r>
      <w:proofErr w:type="spellStart"/>
      <w:r w:rsidRPr="007C7DE2">
        <w:rPr>
          <w:rFonts w:ascii="Arial" w:hAnsi="Arial" w:cs="Arial"/>
          <w:sz w:val="18"/>
          <w:szCs w:val="18"/>
        </w:rPr>
        <w:t>Presaturation</w:t>
      </w:r>
      <w:proofErr w:type="spellEnd"/>
      <w:r w:rsidRPr="007C7DE2">
        <w:rPr>
          <w:rFonts w:ascii="Arial" w:hAnsi="Arial" w:cs="Arial"/>
          <w:sz w:val="18"/>
          <w:szCs w:val="18"/>
        </w:rPr>
        <w:t> method).</w:t>
      </w:r>
    </w:p>
    <w:p w14:paraId="06F76F19" w14:textId="655C7902" w:rsidR="00734239" w:rsidRPr="007C7DE2" w:rsidRDefault="00734239" w:rsidP="00627A3D">
      <w:pPr>
        <w:pStyle w:val="ListParagraph"/>
        <w:numPr>
          <w:ilvl w:val="0"/>
          <w:numId w:val="29"/>
        </w:numPr>
        <w:tabs>
          <w:tab w:val="left" w:pos="426"/>
        </w:tabs>
        <w:spacing w:before="120"/>
        <w:ind w:left="782" w:hanging="357"/>
        <w:contextualSpacing w:val="0"/>
        <w:rPr>
          <w:rFonts w:ascii="Arial" w:hAnsi="Arial" w:cs="Arial"/>
          <w:sz w:val="18"/>
          <w:szCs w:val="18"/>
        </w:rPr>
      </w:pPr>
      <w:r w:rsidRPr="007C7DE2">
        <w:rPr>
          <w:rFonts w:ascii="Arial" w:hAnsi="Arial" w:cs="Arial"/>
          <w:sz w:val="18"/>
          <w:szCs w:val="18"/>
        </w:rPr>
        <w:t>Determined from the average of two (minimum) test specimens.</w:t>
      </w:r>
    </w:p>
    <w:p w14:paraId="5D6DCB07" w14:textId="309CCDDA" w:rsidR="00734239" w:rsidRPr="007C7DE2" w:rsidRDefault="00734239" w:rsidP="00627A3D">
      <w:pPr>
        <w:pStyle w:val="ListParagraph"/>
        <w:numPr>
          <w:ilvl w:val="0"/>
          <w:numId w:val="29"/>
        </w:numPr>
        <w:tabs>
          <w:tab w:val="left" w:pos="426"/>
        </w:tabs>
        <w:spacing w:before="120"/>
        <w:ind w:left="782" w:hanging="357"/>
        <w:contextualSpacing w:val="0"/>
        <w:rPr>
          <w:rFonts w:ascii="Arial" w:hAnsi="Arial" w:cs="Arial"/>
          <w:sz w:val="18"/>
          <w:szCs w:val="18"/>
        </w:rPr>
      </w:pPr>
      <w:r w:rsidRPr="007C7DE2">
        <w:rPr>
          <w:rFonts w:ascii="Arial" w:hAnsi="Arial" w:cs="Arial"/>
          <w:sz w:val="18"/>
          <w:szCs w:val="18"/>
        </w:rPr>
        <w:t>Sinusoidal loading shall be used.</w:t>
      </w:r>
    </w:p>
    <w:p w14:paraId="5812A72E" w14:textId="29AD32A3" w:rsidR="00734239" w:rsidRPr="007C7DE2" w:rsidRDefault="00734239" w:rsidP="00627A3D">
      <w:pPr>
        <w:pStyle w:val="ListParagraph"/>
        <w:numPr>
          <w:ilvl w:val="0"/>
          <w:numId w:val="29"/>
        </w:numPr>
        <w:tabs>
          <w:tab w:val="left" w:pos="426"/>
        </w:tabs>
        <w:spacing w:before="120"/>
        <w:ind w:left="782" w:hanging="357"/>
        <w:contextualSpacing w:val="0"/>
        <w:rPr>
          <w:rFonts w:ascii="Arial" w:hAnsi="Arial" w:cs="Arial"/>
          <w:sz w:val="18"/>
          <w:szCs w:val="18"/>
        </w:rPr>
      </w:pPr>
      <w:r w:rsidRPr="007C7DE2">
        <w:rPr>
          <w:rFonts w:ascii="Arial" w:hAnsi="Arial" w:cs="Arial"/>
          <w:sz w:val="18"/>
          <w:szCs w:val="18"/>
        </w:rPr>
        <w:t>Flexural stiffness shall be determined as the average stiffness between the 45th and the 100th load repetition.</w:t>
      </w:r>
    </w:p>
    <w:p w14:paraId="01A7E9DD" w14:textId="427DA4FF" w:rsidR="00F107C1" w:rsidRPr="007C7DE2" w:rsidRDefault="00734239" w:rsidP="00627A3D">
      <w:pPr>
        <w:pStyle w:val="ListParagraph"/>
        <w:numPr>
          <w:ilvl w:val="0"/>
          <w:numId w:val="29"/>
        </w:numPr>
        <w:tabs>
          <w:tab w:val="left" w:pos="426"/>
        </w:tabs>
        <w:spacing w:before="120" w:after="120"/>
        <w:ind w:left="782" w:hanging="357"/>
        <w:contextualSpacing w:val="0"/>
        <w:rPr>
          <w:rFonts w:ascii="Arial" w:hAnsi="Arial" w:cs="Arial"/>
          <w:sz w:val="18"/>
          <w:szCs w:val="18"/>
        </w:rPr>
      </w:pPr>
      <w:r w:rsidRPr="007C7DE2">
        <w:rPr>
          <w:rFonts w:ascii="Arial" w:hAnsi="Arial" w:cs="Arial"/>
          <w:sz w:val="18"/>
          <w:szCs w:val="18"/>
        </w:rPr>
        <w:t>Refer to Clause 418.0</w:t>
      </w:r>
      <w:r w:rsidR="00570E68">
        <w:rPr>
          <w:rFonts w:ascii="Arial" w:hAnsi="Arial" w:cs="Arial"/>
          <w:sz w:val="18"/>
          <w:szCs w:val="18"/>
        </w:rPr>
        <w:t>6</w:t>
      </w:r>
      <w:r w:rsidRPr="007C7DE2">
        <w:rPr>
          <w:rFonts w:ascii="Arial" w:hAnsi="Arial" w:cs="Arial"/>
          <w:sz w:val="18"/>
          <w:szCs w:val="18"/>
        </w:rPr>
        <w:t>(</w:t>
      </w:r>
      <w:r w:rsidR="00570E68">
        <w:rPr>
          <w:rFonts w:ascii="Arial" w:hAnsi="Arial" w:cs="Arial"/>
          <w:sz w:val="18"/>
          <w:szCs w:val="18"/>
        </w:rPr>
        <w:t>c</w:t>
      </w:r>
      <w:r w:rsidRPr="007C7DE2">
        <w:rPr>
          <w:rFonts w:ascii="Arial" w:hAnsi="Arial" w:cs="Arial"/>
          <w:sz w:val="18"/>
          <w:szCs w:val="18"/>
        </w:rPr>
        <w:t>) for details.</w:t>
      </w:r>
    </w:p>
    <w:p w14:paraId="71FFBFBB" w14:textId="406C83D1" w:rsidR="00B27D20" w:rsidRPr="00982F55" w:rsidRDefault="009F0161" w:rsidP="00627A3D">
      <w:pPr>
        <w:pStyle w:val="ListParagraph"/>
        <w:numPr>
          <w:ilvl w:val="0"/>
          <w:numId w:val="29"/>
        </w:numPr>
        <w:tabs>
          <w:tab w:val="left" w:pos="426"/>
        </w:tabs>
        <w:spacing w:before="120"/>
        <w:ind w:left="782" w:hanging="357"/>
        <w:rPr>
          <w:rFonts w:ascii="Arial" w:hAnsi="Arial" w:cs="Arial"/>
          <w:sz w:val="18"/>
          <w:szCs w:val="22"/>
        </w:rPr>
      </w:pPr>
      <w:r w:rsidRPr="00982F55">
        <w:rPr>
          <w:rFonts w:ascii="Arial" w:hAnsi="Arial" w:cs="Arial"/>
          <w:sz w:val="18"/>
          <w:szCs w:val="22"/>
        </w:rPr>
        <w:t>For flexural stiffness and fatigue resistance testing undertaken in accordance with AG:PT/T274</w:t>
      </w:r>
      <w:r w:rsidR="00D1239B">
        <w:rPr>
          <w:rFonts w:ascii="Arial" w:hAnsi="Arial" w:cs="Arial"/>
          <w:sz w:val="18"/>
          <w:szCs w:val="22"/>
        </w:rPr>
        <w:t>,</w:t>
      </w:r>
      <w:r w:rsidRPr="00982F55">
        <w:rPr>
          <w:rFonts w:ascii="Arial" w:hAnsi="Arial" w:cs="Arial"/>
          <w:sz w:val="18"/>
          <w:szCs w:val="22"/>
        </w:rPr>
        <w:t xml:space="preserve"> the appropriate strain levels must be selected.</w:t>
      </w:r>
      <w:r w:rsidR="00B565EB">
        <w:rPr>
          <w:rFonts w:ascii="Arial" w:hAnsi="Arial" w:cs="Arial"/>
          <w:sz w:val="18"/>
          <w:szCs w:val="22"/>
          <w:highlight w:val="yellow"/>
        </w:rPr>
        <w:t xml:space="preserve">  </w:t>
      </w:r>
    </w:p>
    <w:p w14:paraId="7638F41D" w14:textId="383FFF2B" w:rsidR="00B27D20" w:rsidRDefault="00B27D20" w:rsidP="009F0161">
      <w:pPr>
        <w:widowControl/>
        <w:tabs>
          <w:tab w:val="left" w:pos="454"/>
        </w:tabs>
        <w:ind w:left="454" w:hanging="454"/>
        <w:rPr>
          <w:rFonts w:cs="Arial"/>
        </w:rPr>
      </w:pPr>
    </w:p>
    <w:p w14:paraId="6411A74F" w14:textId="646DFDB5" w:rsidR="00B27D20" w:rsidRPr="000F6E49" w:rsidRDefault="00B27D20" w:rsidP="00F107C1">
      <w:pPr>
        <w:tabs>
          <w:tab w:val="left" w:pos="454"/>
        </w:tabs>
        <w:rPr>
          <w:rFonts w:cs="Arial"/>
        </w:rPr>
      </w:pPr>
      <w:r w:rsidRPr="000F6E49">
        <w:rPr>
          <w:rFonts w:cs="Arial"/>
        </w:rPr>
        <w:t>(</w:t>
      </w:r>
      <w:r w:rsidR="00F107C1">
        <w:rPr>
          <w:rFonts w:cs="Arial"/>
        </w:rPr>
        <w:t>b</w:t>
      </w:r>
      <w:r w:rsidRPr="000F6E49">
        <w:rPr>
          <w:rFonts w:cs="Arial"/>
        </w:rPr>
        <w:t>)</w:t>
      </w:r>
      <w:r w:rsidRPr="000F6E49">
        <w:rPr>
          <w:rFonts w:cs="Arial"/>
        </w:rPr>
        <w:tab/>
        <w:t>Grading</w:t>
      </w:r>
    </w:p>
    <w:p w14:paraId="144C7551" w14:textId="5A8DB174" w:rsidR="00B27D20" w:rsidRDefault="00B27D20" w:rsidP="00B27D20">
      <w:pPr>
        <w:widowControl/>
        <w:spacing w:before="160"/>
        <w:ind w:left="454"/>
        <w:rPr>
          <w:rFonts w:cs="Arial"/>
        </w:rPr>
      </w:pPr>
      <w:r w:rsidRPr="000F6E49">
        <w:rPr>
          <w:rFonts w:cs="Arial"/>
        </w:rPr>
        <w:t xml:space="preserve">The </w:t>
      </w:r>
      <w:r w:rsidR="009E5DB5">
        <w:rPr>
          <w:rFonts w:cs="Arial"/>
        </w:rPr>
        <w:t>C</w:t>
      </w:r>
      <w:r w:rsidR="009E5DB5" w:rsidRPr="000F6E49">
        <w:rPr>
          <w:rFonts w:cs="Arial"/>
        </w:rPr>
        <w:t xml:space="preserve">ontractor </w:t>
      </w:r>
      <w:r w:rsidRPr="000F6E49">
        <w:rPr>
          <w:rFonts w:cs="Arial"/>
        </w:rPr>
        <w:t>shall nominate the target grading as part of the mix design submission. All aggregates must pass the 19.0 mm sieve (by mass).</w:t>
      </w:r>
    </w:p>
    <w:p w14:paraId="70B88505" w14:textId="2471E72C" w:rsidR="000F120F" w:rsidRPr="000F6E49" w:rsidRDefault="000F120F" w:rsidP="00F107C1">
      <w:pPr>
        <w:widowControl/>
        <w:tabs>
          <w:tab w:val="left" w:pos="0"/>
        </w:tabs>
        <w:rPr>
          <w:rFonts w:cs="Arial"/>
        </w:rPr>
      </w:pPr>
    </w:p>
    <w:p w14:paraId="71D3F93A" w14:textId="3C243015" w:rsidR="000F120F" w:rsidRPr="000F6E49" w:rsidRDefault="00336B5B" w:rsidP="00C07452">
      <w:pPr>
        <w:widowControl/>
        <w:tabs>
          <w:tab w:val="left" w:pos="454"/>
        </w:tabs>
        <w:ind w:left="454" w:hanging="454"/>
        <w:rPr>
          <w:rFonts w:cs="Arial"/>
        </w:rPr>
      </w:pPr>
      <w:r w:rsidRPr="000F6E49">
        <w:rPr>
          <w:rFonts w:cs="Arial"/>
        </w:rPr>
        <w:lastRenderedPageBreak/>
        <w:t>(</w:t>
      </w:r>
      <w:r w:rsidR="00F107C1">
        <w:rPr>
          <w:rFonts w:cs="Arial"/>
        </w:rPr>
        <w:t>c</w:t>
      </w:r>
      <w:r w:rsidRPr="000F6E49">
        <w:rPr>
          <w:rFonts w:cs="Arial"/>
        </w:rPr>
        <w:t>)</w:t>
      </w:r>
      <w:r w:rsidRPr="000F6E49">
        <w:rPr>
          <w:rFonts w:cs="Arial"/>
        </w:rPr>
        <w:tab/>
      </w:r>
      <w:r w:rsidR="000F120F" w:rsidRPr="000F6E49">
        <w:rPr>
          <w:rFonts w:cs="Arial"/>
        </w:rPr>
        <w:t>Richness Modulus</w:t>
      </w:r>
    </w:p>
    <w:p w14:paraId="6C0D1796" w14:textId="77777777" w:rsidR="000F120F" w:rsidRPr="000F6E49" w:rsidRDefault="000F120F" w:rsidP="00336B5B">
      <w:pPr>
        <w:widowControl/>
        <w:spacing w:before="160"/>
        <w:ind w:left="454"/>
        <w:rPr>
          <w:rFonts w:cs="Arial"/>
        </w:rPr>
      </w:pPr>
      <w:r w:rsidRPr="000F6E49">
        <w:rPr>
          <w:rFonts w:cs="Arial"/>
        </w:rPr>
        <w:t>The richness modulus (K) of the mix design shall be calculated as follows:</w:t>
      </w:r>
    </w:p>
    <w:p w14:paraId="5FBD1535" w14:textId="39073E45" w:rsidR="000F120F" w:rsidRPr="000F6E49" w:rsidRDefault="00707333" w:rsidP="00CA4068">
      <w:pPr>
        <w:pStyle w:val="BodyText"/>
        <w:spacing w:after="0"/>
        <w:ind w:firstLine="720"/>
        <w:rPr>
          <w:szCs w:val="20"/>
        </w:rPr>
      </w:pPr>
      <w:r w:rsidRPr="000F6E49">
        <w:rPr>
          <w:noProof/>
          <w:szCs w:val="20"/>
        </w:rPr>
        <mc:AlternateContent>
          <mc:Choice Requires="wps">
            <w:drawing>
              <wp:inline distT="0" distB="0" distL="0" distR="0" wp14:anchorId="7D9F0897" wp14:editId="09FFE52A">
                <wp:extent cx="2926080" cy="805180"/>
                <wp:effectExtent l="0" t="0" r="1270" b="0"/>
                <wp:docPr id="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715" cy="805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E1F587" w14:textId="72EA0CA1" w:rsidR="00EE390F" w:rsidRDefault="00707333" w:rsidP="00CA4068">
                            <w:pPr>
                              <w:ind w:left="1440"/>
                            </w:pPr>
                            <w:r>
                              <w:rPr>
                                <w:noProof/>
                              </w:rPr>
                              <w:drawing>
                                <wp:inline distT="0" distB="0" distL="0" distR="0" wp14:anchorId="4C55AF30" wp14:editId="6A5C5306">
                                  <wp:extent cx="1447800" cy="771525"/>
                                  <wp:effectExtent l="0" t="0" r="0" b="0"/>
                                  <wp:docPr id="10" name="Picture 10" descr="Formula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ulae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0" cy="771525"/>
                                          </a:xfrm>
                                          <a:prstGeom prst="rect">
                                            <a:avLst/>
                                          </a:prstGeom>
                                          <a:noFill/>
                                          <a:ln>
                                            <a:noFill/>
                                          </a:ln>
                                        </pic:spPr>
                                      </pic:pic>
                                    </a:graphicData>
                                  </a:graphic>
                                </wp:inline>
                              </w:drawing>
                            </w:r>
                            <w:r w:rsidR="00EE390F">
                              <w:tab/>
                            </w:r>
                          </w:p>
                        </w:txbxContent>
                      </wps:txbx>
                      <wps:bodyPr rot="0" vert="horz" wrap="none" lIns="91440" tIns="45720" rIns="91440" bIns="45720" anchor="t" anchorCtr="0" upright="1">
                        <a:noAutofit/>
                      </wps:bodyPr>
                    </wps:wsp>
                  </a:graphicData>
                </a:graphic>
              </wp:inline>
            </w:drawing>
          </mc:Choice>
          <mc:Fallback>
            <w:pict>
              <v:shapetype w14:anchorId="7D9F0897" id="_x0000_t202" coordsize="21600,21600" o:spt="202" path="m,l,21600r21600,l21600,xe">
                <v:stroke joinstyle="miter"/>
                <v:path gradientshapeok="t" o:connecttype="rect"/>
              </v:shapetype>
              <v:shape id="Text Box 49" o:spid="_x0000_s1026" type="#_x0000_t202" style="width:230.4pt;height:63.4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" stroked="f">
                <v:textbox>
                  <w:txbxContent>
                    <w:p w14:paraId="63E1F587" w14:textId="72EA0CA1" w:rsidR="00EE390F" w:rsidRDefault="00707333" w:rsidP="00CA4068">
                      <w:pPr>
                        <w:ind w:left="1440"/>
                      </w:pPr>
                      <w:r>
                        <w:rPr>
                          <w:noProof/>
                        </w:rPr>
                        <w:drawing>
                          <wp:inline distT="0" distB="0" distL="0" distR="0" wp14:anchorId="4C55AF30" wp14:editId="6A5C5306">
                            <wp:extent cx="1447800" cy="771525"/>
                            <wp:effectExtent l="0" t="0" r="0" b="0"/>
                            <wp:docPr id="10" name="Picture 10" descr="Formula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ulae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0" cy="771525"/>
                                    </a:xfrm>
                                    <a:prstGeom prst="rect">
                                      <a:avLst/>
                                    </a:prstGeom>
                                    <a:noFill/>
                                    <a:ln>
                                      <a:noFill/>
                                    </a:ln>
                                  </pic:spPr>
                                </pic:pic>
                              </a:graphicData>
                            </a:graphic>
                          </wp:inline>
                        </w:drawing>
                      </w:r>
                      <w:r w:rsidR="00EE390F">
                        <w:tab/>
                      </w:r>
                    </w:p>
                  </w:txbxContent>
                </v:textbox>
                <w10:anchorlock/>
              </v:shape>
            </w:pict>
          </mc:Fallback>
        </mc:AlternateContent>
      </w:r>
    </w:p>
    <w:p w14:paraId="73E38CFC" w14:textId="77777777" w:rsidR="000F120F" w:rsidRPr="000F6E49" w:rsidRDefault="000F120F" w:rsidP="00A1781E">
      <w:pPr>
        <w:pStyle w:val="BodyText"/>
        <w:tabs>
          <w:tab w:val="left" w:pos="1134"/>
          <w:tab w:val="left" w:pos="1418"/>
          <w:tab w:val="left" w:pos="1701"/>
        </w:tabs>
        <w:spacing w:after="0" w:line="240" w:lineRule="auto"/>
        <w:ind w:left="454"/>
        <w:rPr>
          <w:szCs w:val="20"/>
        </w:rPr>
      </w:pPr>
      <w:r w:rsidRPr="000F6E49">
        <w:rPr>
          <w:szCs w:val="20"/>
        </w:rPr>
        <w:t>where:</w:t>
      </w:r>
      <w:r w:rsidRPr="000F6E49">
        <w:rPr>
          <w:szCs w:val="20"/>
        </w:rPr>
        <w:tab/>
        <w:t>B</w:t>
      </w:r>
      <w:r w:rsidR="00A1781E" w:rsidRPr="000F6E49">
        <w:rPr>
          <w:szCs w:val="20"/>
        </w:rPr>
        <w:tab/>
      </w:r>
      <w:r w:rsidRPr="000F6E49">
        <w:rPr>
          <w:szCs w:val="20"/>
        </w:rPr>
        <w:t>=</w:t>
      </w:r>
      <w:r w:rsidR="00A1781E" w:rsidRPr="000F6E49">
        <w:rPr>
          <w:szCs w:val="20"/>
        </w:rPr>
        <w:tab/>
      </w:r>
      <w:r w:rsidRPr="000F6E49">
        <w:rPr>
          <w:szCs w:val="20"/>
        </w:rPr>
        <w:t>Binder content (% by mass of the total asphalt mix)</w:t>
      </w:r>
    </w:p>
    <w:p w14:paraId="7BA48D9D" w14:textId="77777777" w:rsidR="000F120F" w:rsidRPr="000F6E49" w:rsidRDefault="00A1781E" w:rsidP="00343F1D">
      <w:pPr>
        <w:pStyle w:val="BodyText"/>
        <w:tabs>
          <w:tab w:val="left" w:pos="1134"/>
          <w:tab w:val="left" w:pos="1418"/>
          <w:tab w:val="left" w:pos="1701"/>
        </w:tabs>
        <w:spacing w:before="80" w:after="0" w:line="240" w:lineRule="auto"/>
        <w:ind w:left="454"/>
        <w:rPr>
          <w:szCs w:val="20"/>
        </w:rPr>
      </w:pPr>
      <w:r w:rsidRPr="000F6E49">
        <w:rPr>
          <w:szCs w:val="20"/>
        </w:rPr>
        <w:tab/>
      </w:r>
      <w:r w:rsidR="000F120F" w:rsidRPr="000F6E49">
        <w:rPr>
          <w:szCs w:val="20"/>
        </w:rPr>
        <w:sym w:font="Symbol" w:char="F061"/>
      </w:r>
      <w:r w:rsidRPr="000F6E49">
        <w:rPr>
          <w:szCs w:val="20"/>
        </w:rPr>
        <w:tab/>
      </w:r>
      <w:r w:rsidR="000F120F" w:rsidRPr="000F6E49">
        <w:rPr>
          <w:szCs w:val="20"/>
        </w:rPr>
        <w:t>=</w:t>
      </w:r>
      <w:r w:rsidRPr="000F6E49">
        <w:rPr>
          <w:szCs w:val="20"/>
        </w:rPr>
        <w:tab/>
      </w:r>
      <w:r w:rsidR="000F120F" w:rsidRPr="000F6E49">
        <w:rPr>
          <w:szCs w:val="20"/>
        </w:rPr>
        <w:t xml:space="preserve">2.65 / </w:t>
      </w:r>
      <w:r w:rsidR="000F120F" w:rsidRPr="000F6E49">
        <w:rPr>
          <w:szCs w:val="20"/>
        </w:rPr>
        <w:sym w:font="Symbol" w:char="F072"/>
      </w:r>
      <w:r w:rsidR="000F120F" w:rsidRPr="000F6E49">
        <w:rPr>
          <w:szCs w:val="20"/>
          <w:vertAlign w:val="subscript"/>
        </w:rPr>
        <w:t>a</w:t>
      </w:r>
    </w:p>
    <w:p w14:paraId="72D9B9CA" w14:textId="77777777" w:rsidR="000F120F" w:rsidRPr="000F6E49" w:rsidRDefault="000F120F" w:rsidP="00343F1D">
      <w:pPr>
        <w:pStyle w:val="BodyText"/>
        <w:tabs>
          <w:tab w:val="left" w:pos="1134"/>
          <w:tab w:val="left" w:pos="1418"/>
          <w:tab w:val="left" w:pos="1701"/>
        </w:tabs>
        <w:spacing w:before="80" w:after="0" w:line="240" w:lineRule="auto"/>
        <w:ind w:left="1701" w:hanging="1247"/>
        <w:rPr>
          <w:szCs w:val="20"/>
        </w:rPr>
      </w:pPr>
      <w:r w:rsidRPr="000F6E49">
        <w:rPr>
          <w:szCs w:val="20"/>
        </w:rPr>
        <w:tab/>
      </w:r>
      <w:r w:rsidRPr="000F6E49">
        <w:rPr>
          <w:szCs w:val="20"/>
        </w:rPr>
        <w:sym w:font="Symbol" w:char="F072"/>
      </w:r>
      <w:r w:rsidRPr="000F6E49">
        <w:rPr>
          <w:szCs w:val="20"/>
          <w:vertAlign w:val="subscript"/>
        </w:rPr>
        <w:t>a</w:t>
      </w:r>
      <w:r w:rsidR="00A1781E" w:rsidRPr="000F6E49">
        <w:rPr>
          <w:szCs w:val="20"/>
          <w:vertAlign w:val="subscript"/>
        </w:rPr>
        <w:tab/>
      </w:r>
      <w:r w:rsidRPr="000F6E49">
        <w:rPr>
          <w:szCs w:val="20"/>
        </w:rPr>
        <w:t>=</w:t>
      </w:r>
      <w:r w:rsidR="00A1781E" w:rsidRPr="000F6E49">
        <w:rPr>
          <w:szCs w:val="20"/>
        </w:rPr>
        <w:tab/>
      </w:r>
      <w:r w:rsidRPr="000F6E49">
        <w:rPr>
          <w:szCs w:val="20"/>
        </w:rPr>
        <w:t>Particle density of the combined mineral aggregate determined in accordance with AS/NZS</w:t>
      </w:r>
      <w:r w:rsidR="00A1781E" w:rsidRPr="000F6E49">
        <w:rPr>
          <w:szCs w:val="20"/>
        </w:rPr>
        <w:t> </w:t>
      </w:r>
      <w:r w:rsidRPr="000F6E49">
        <w:rPr>
          <w:szCs w:val="20"/>
        </w:rPr>
        <w:t>2891.8</w:t>
      </w:r>
      <w:r w:rsidR="00A1781E" w:rsidRPr="000F6E49">
        <w:rPr>
          <w:szCs w:val="20"/>
        </w:rPr>
        <w:t> </w:t>
      </w:r>
      <w:r w:rsidRPr="000F6E49">
        <w:rPr>
          <w:szCs w:val="20"/>
        </w:rPr>
        <w:t>(t/m</w:t>
      </w:r>
      <w:r w:rsidRPr="000F6E49">
        <w:rPr>
          <w:szCs w:val="20"/>
          <w:vertAlign w:val="superscript"/>
        </w:rPr>
        <w:t>3</w:t>
      </w:r>
      <w:r w:rsidRPr="000F6E49">
        <w:rPr>
          <w:szCs w:val="20"/>
        </w:rPr>
        <w:t>)</w:t>
      </w:r>
    </w:p>
    <w:p w14:paraId="25B98108" w14:textId="77777777" w:rsidR="000F120F" w:rsidRPr="000F6E49" w:rsidRDefault="000F120F" w:rsidP="00343F1D">
      <w:pPr>
        <w:pStyle w:val="BodyText"/>
        <w:tabs>
          <w:tab w:val="left" w:pos="1134"/>
          <w:tab w:val="left" w:pos="1418"/>
          <w:tab w:val="left" w:pos="1701"/>
        </w:tabs>
        <w:spacing w:before="80" w:after="0" w:line="240" w:lineRule="auto"/>
        <w:ind w:left="454"/>
        <w:rPr>
          <w:szCs w:val="20"/>
        </w:rPr>
      </w:pPr>
      <w:r w:rsidRPr="000F6E49">
        <w:rPr>
          <w:szCs w:val="20"/>
        </w:rPr>
        <w:tab/>
      </w:r>
      <w:r w:rsidRPr="000F6E49">
        <w:rPr>
          <w:szCs w:val="20"/>
        </w:rPr>
        <w:sym w:font="Symbol" w:char="F053"/>
      </w:r>
      <w:r w:rsidR="00A1781E" w:rsidRPr="000F6E49">
        <w:rPr>
          <w:szCs w:val="20"/>
        </w:rPr>
        <w:tab/>
      </w:r>
      <w:r w:rsidRPr="000F6E49">
        <w:rPr>
          <w:szCs w:val="20"/>
        </w:rPr>
        <w:t>=</w:t>
      </w:r>
      <w:r w:rsidR="00A1781E" w:rsidRPr="000F6E49">
        <w:rPr>
          <w:szCs w:val="20"/>
        </w:rPr>
        <w:tab/>
      </w:r>
      <w:r w:rsidRPr="000F6E49">
        <w:rPr>
          <w:szCs w:val="20"/>
        </w:rPr>
        <w:t>(0.25G + 2.3S + 12s + 150f) / 100</w:t>
      </w:r>
    </w:p>
    <w:p w14:paraId="5897D31E" w14:textId="77777777" w:rsidR="000F120F" w:rsidRPr="000F6E49" w:rsidRDefault="00343F1D" w:rsidP="00343F1D">
      <w:pPr>
        <w:pStyle w:val="BodyText"/>
        <w:tabs>
          <w:tab w:val="left" w:pos="1134"/>
          <w:tab w:val="left" w:pos="1418"/>
          <w:tab w:val="left" w:pos="1701"/>
        </w:tabs>
        <w:spacing w:before="160" w:after="0" w:line="240" w:lineRule="auto"/>
        <w:ind w:left="454"/>
        <w:rPr>
          <w:szCs w:val="20"/>
        </w:rPr>
      </w:pPr>
      <w:r w:rsidRPr="000F6E49">
        <w:rPr>
          <w:szCs w:val="20"/>
        </w:rPr>
        <w:t>where:</w:t>
      </w:r>
      <w:r w:rsidR="000F120F" w:rsidRPr="000F6E49">
        <w:rPr>
          <w:szCs w:val="20"/>
        </w:rPr>
        <w:tab/>
        <w:t>G</w:t>
      </w:r>
      <w:r w:rsidRPr="000F6E49">
        <w:rPr>
          <w:szCs w:val="20"/>
        </w:rPr>
        <w:tab/>
      </w:r>
      <w:r w:rsidR="000F120F" w:rsidRPr="000F6E49">
        <w:rPr>
          <w:szCs w:val="20"/>
        </w:rPr>
        <w:t>=</w:t>
      </w:r>
      <w:r w:rsidRPr="000F6E49">
        <w:rPr>
          <w:szCs w:val="20"/>
        </w:rPr>
        <w:tab/>
      </w:r>
      <w:r w:rsidR="000F120F" w:rsidRPr="000F6E49">
        <w:rPr>
          <w:szCs w:val="20"/>
        </w:rPr>
        <w:t>Percentage of aggregate particles greater than 6.30</w:t>
      </w:r>
      <w:r w:rsidRPr="000F6E49">
        <w:rPr>
          <w:szCs w:val="20"/>
        </w:rPr>
        <w:t> </w:t>
      </w:r>
      <w:r w:rsidR="000F120F" w:rsidRPr="000F6E49">
        <w:rPr>
          <w:szCs w:val="20"/>
        </w:rPr>
        <w:t>mm</w:t>
      </w:r>
    </w:p>
    <w:p w14:paraId="538AFD1D" w14:textId="77777777" w:rsidR="000F120F" w:rsidRPr="000F6E49" w:rsidRDefault="000F120F" w:rsidP="00343F1D">
      <w:pPr>
        <w:pStyle w:val="BodyText"/>
        <w:tabs>
          <w:tab w:val="left" w:pos="1134"/>
          <w:tab w:val="left" w:pos="1418"/>
          <w:tab w:val="left" w:pos="1701"/>
        </w:tabs>
        <w:spacing w:before="80" w:after="0" w:line="240" w:lineRule="auto"/>
        <w:ind w:left="454"/>
        <w:rPr>
          <w:szCs w:val="20"/>
        </w:rPr>
      </w:pPr>
      <w:r w:rsidRPr="000F6E49">
        <w:rPr>
          <w:szCs w:val="20"/>
        </w:rPr>
        <w:tab/>
        <w:t>S</w:t>
      </w:r>
      <w:r w:rsidR="00343F1D" w:rsidRPr="000F6E49">
        <w:rPr>
          <w:szCs w:val="20"/>
        </w:rPr>
        <w:tab/>
      </w:r>
      <w:r w:rsidRPr="000F6E49">
        <w:rPr>
          <w:szCs w:val="20"/>
        </w:rPr>
        <w:t>=</w:t>
      </w:r>
      <w:r w:rsidR="00343F1D" w:rsidRPr="000F6E49">
        <w:rPr>
          <w:szCs w:val="20"/>
        </w:rPr>
        <w:tab/>
      </w:r>
      <w:r w:rsidRPr="000F6E49">
        <w:rPr>
          <w:szCs w:val="20"/>
        </w:rPr>
        <w:t>Percentage of aggregate particles between 6.30</w:t>
      </w:r>
      <w:r w:rsidR="00343F1D" w:rsidRPr="000F6E49">
        <w:rPr>
          <w:szCs w:val="20"/>
        </w:rPr>
        <w:t> </w:t>
      </w:r>
      <w:r w:rsidRPr="000F6E49">
        <w:rPr>
          <w:szCs w:val="20"/>
        </w:rPr>
        <w:t>mm and 0.250</w:t>
      </w:r>
      <w:r w:rsidR="00343F1D" w:rsidRPr="000F6E49">
        <w:rPr>
          <w:szCs w:val="20"/>
        </w:rPr>
        <w:t> </w:t>
      </w:r>
      <w:r w:rsidRPr="000F6E49">
        <w:rPr>
          <w:szCs w:val="20"/>
        </w:rPr>
        <w:t>mm</w:t>
      </w:r>
    </w:p>
    <w:p w14:paraId="161D2BDC" w14:textId="77777777" w:rsidR="000F120F" w:rsidRPr="000F6E49" w:rsidRDefault="000F120F" w:rsidP="00343F1D">
      <w:pPr>
        <w:pStyle w:val="BodyText"/>
        <w:tabs>
          <w:tab w:val="left" w:pos="1134"/>
          <w:tab w:val="left" w:pos="1418"/>
          <w:tab w:val="left" w:pos="1701"/>
        </w:tabs>
        <w:spacing w:before="80" w:after="0" w:line="240" w:lineRule="auto"/>
        <w:ind w:left="454"/>
        <w:rPr>
          <w:szCs w:val="20"/>
        </w:rPr>
      </w:pPr>
      <w:r w:rsidRPr="000F6E49">
        <w:rPr>
          <w:szCs w:val="20"/>
        </w:rPr>
        <w:tab/>
        <w:t>s</w:t>
      </w:r>
      <w:r w:rsidR="00343F1D" w:rsidRPr="000F6E49">
        <w:rPr>
          <w:szCs w:val="20"/>
        </w:rPr>
        <w:tab/>
      </w:r>
      <w:r w:rsidRPr="000F6E49">
        <w:rPr>
          <w:szCs w:val="20"/>
        </w:rPr>
        <w:t>=</w:t>
      </w:r>
      <w:r w:rsidR="00343F1D" w:rsidRPr="000F6E49">
        <w:rPr>
          <w:szCs w:val="20"/>
        </w:rPr>
        <w:tab/>
      </w:r>
      <w:r w:rsidRPr="000F6E49">
        <w:rPr>
          <w:szCs w:val="20"/>
        </w:rPr>
        <w:t>Percentage of aggregate particles between 0</w:t>
      </w:r>
      <w:r w:rsidR="00343F1D" w:rsidRPr="000F6E49">
        <w:rPr>
          <w:szCs w:val="20"/>
        </w:rPr>
        <w:t>.250 </w:t>
      </w:r>
      <w:r w:rsidRPr="000F6E49">
        <w:rPr>
          <w:szCs w:val="20"/>
        </w:rPr>
        <w:t>mm and 0.075</w:t>
      </w:r>
      <w:r w:rsidR="00343F1D" w:rsidRPr="000F6E49">
        <w:rPr>
          <w:szCs w:val="20"/>
        </w:rPr>
        <w:t> mm</w:t>
      </w:r>
    </w:p>
    <w:p w14:paraId="78286718" w14:textId="77777777" w:rsidR="000F120F" w:rsidRPr="000F6E49" w:rsidRDefault="000F120F" w:rsidP="00343F1D">
      <w:pPr>
        <w:pStyle w:val="BodyText"/>
        <w:tabs>
          <w:tab w:val="left" w:pos="1134"/>
          <w:tab w:val="left" w:pos="1418"/>
          <w:tab w:val="left" w:pos="1701"/>
        </w:tabs>
        <w:spacing w:before="80" w:after="0" w:line="240" w:lineRule="auto"/>
        <w:ind w:left="454"/>
        <w:rPr>
          <w:szCs w:val="20"/>
        </w:rPr>
      </w:pPr>
      <w:r w:rsidRPr="000F6E49">
        <w:rPr>
          <w:szCs w:val="20"/>
        </w:rPr>
        <w:tab/>
        <w:t>f</w:t>
      </w:r>
      <w:r w:rsidR="00343F1D" w:rsidRPr="000F6E49">
        <w:rPr>
          <w:szCs w:val="20"/>
        </w:rPr>
        <w:tab/>
        <w:t>=</w:t>
      </w:r>
      <w:r w:rsidR="00343F1D" w:rsidRPr="000F6E49">
        <w:rPr>
          <w:szCs w:val="20"/>
        </w:rPr>
        <w:tab/>
      </w:r>
      <w:r w:rsidRPr="000F6E49">
        <w:rPr>
          <w:szCs w:val="20"/>
        </w:rPr>
        <w:t>Percentage of aggregate particles less than 0.075</w:t>
      </w:r>
      <w:r w:rsidR="00343F1D" w:rsidRPr="000F6E49">
        <w:rPr>
          <w:szCs w:val="20"/>
        </w:rPr>
        <w:t> </w:t>
      </w:r>
      <w:r w:rsidRPr="000F6E49">
        <w:rPr>
          <w:szCs w:val="20"/>
        </w:rPr>
        <w:t>mm</w:t>
      </w:r>
    </w:p>
    <w:p w14:paraId="4107EB32" w14:textId="77777777" w:rsidR="000F120F" w:rsidRPr="000F6E49" w:rsidRDefault="000F120F" w:rsidP="003F280A">
      <w:pPr>
        <w:widowControl/>
        <w:spacing w:before="160"/>
        <w:ind w:left="454"/>
        <w:rPr>
          <w:rFonts w:cs="Arial"/>
        </w:rPr>
      </w:pPr>
      <w:r w:rsidRPr="000F6E49">
        <w:rPr>
          <w:rFonts w:cs="Arial"/>
        </w:rPr>
        <w:t xml:space="preserve">G, </w:t>
      </w:r>
      <w:proofErr w:type="gramStart"/>
      <w:r w:rsidRPr="000F6E49">
        <w:rPr>
          <w:rFonts w:cs="Arial"/>
        </w:rPr>
        <w:t>S</w:t>
      </w:r>
      <w:proofErr w:type="gramEnd"/>
      <w:r w:rsidRPr="000F6E49">
        <w:rPr>
          <w:rFonts w:cs="Arial"/>
        </w:rPr>
        <w:t xml:space="preserve"> and s may be interpolated using a linear relationship from the grading curve using Australian standard sieves.</w:t>
      </w:r>
    </w:p>
    <w:p w14:paraId="67D6B128" w14:textId="77777777" w:rsidR="000F120F" w:rsidRPr="000F6E49" w:rsidRDefault="000F120F" w:rsidP="003F280A">
      <w:pPr>
        <w:pStyle w:val="BodyText"/>
        <w:spacing w:after="0" w:line="240" w:lineRule="auto"/>
        <w:rPr>
          <w:szCs w:val="20"/>
        </w:rPr>
      </w:pPr>
    </w:p>
    <w:p w14:paraId="32573D20" w14:textId="77777777" w:rsidR="000F120F" w:rsidRPr="000F6E49" w:rsidRDefault="000F120F" w:rsidP="00CA4068">
      <w:pPr>
        <w:pStyle w:val="BodyText"/>
        <w:spacing w:after="0" w:line="240" w:lineRule="auto"/>
        <w:rPr>
          <w:szCs w:val="20"/>
        </w:rPr>
      </w:pPr>
    </w:p>
    <w:p w14:paraId="57D0B630" w14:textId="69E06A9A" w:rsidR="000F120F" w:rsidRPr="000F6E49" w:rsidRDefault="000F120F" w:rsidP="00CA4068">
      <w:pPr>
        <w:pStyle w:val="Heading3SS"/>
      </w:pPr>
      <w:r w:rsidRPr="000F6E49">
        <w:t>418.0</w:t>
      </w:r>
      <w:r w:rsidR="008B6E66" w:rsidRPr="000F6E49">
        <w:t>7</w:t>
      </w:r>
      <w:r w:rsidRPr="000F6E49">
        <w:tab/>
        <w:t>MIXING TEMPERATURES</w:t>
      </w:r>
    </w:p>
    <w:p w14:paraId="7CEA26CD" w14:textId="58A102B9" w:rsidR="000F120F" w:rsidRPr="000F6E49" w:rsidRDefault="001274D7" w:rsidP="00BD0F2F">
      <w:pPr>
        <w:spacing w:before="200"/>
        <w:rPr>
          <w:rFonts w:cs="Arial"/>
        </w:rPr>
      </w:pPr>
      <w:r w:rsidRPr="000F6E49">
        <w:rPr>
          <w:rFonts w:cs="Arial"/>
          <w:lang w:val="en-AU"/>
        </w:rPr>
        <w:t>The temperature of binder and aggregates and the temperature of the asphalt as it is discharged from the asphalt plant shall not exceed the limits specified in Table 418.07</w:t>
      </w:r>
      <w:r w:rsidR="00EF4F56">
        <w:rPr>
          <w:rFonts w:cs="Arial"/>
          <w:lang w:val="en-AU"/>
        </w:rPr>
        <w:t>1</w:t>
      </w:r>
      <w:r w:rsidR="000F120F" w:rsidRPr="000F6E49">
        <w:rPr>
          <w:rFonts w:cs="Arial"/>
        </w:rPr>
        <w:t>.</w:t>
      </w:r>
    </w:p>
    <w:p w14:paraId="41E3FDA8" w14:textId="7D2AF7CC" w:rsidR="001274D7" w:rsidRPr="000F6E49" w:rsidRDefault="001274D7" w:rsidP="00F107C1">
      <w:pPr>
        <w:spacing w:before="120" w:after="40"/>
        <w:rPr>
          <w:rFonts w:cs="Arial"/>
          <w:b/>
        </w:rPr>
      </w:pPr>
      <w:r w:rsidRPr="000F6E49">
        <w:rPr>
          <w:rFonts w:cs="Arial"/>
          <w:b/>
        </w:rPr>
        <w:t>Table 418.07</w:t>
      </w:r>
      <w:r w:rsidR="00C90EC3" w:rsidRPr="000F6E49">
        <w:rPr>
          <w:rFonts w:cs="Arial"/>
          <w:b/>
        </w:rPr>
        <w:t>1</w:t>
      </w:r>
      <w:r w:rsidRPr="000F6E49">
        <w:rPr>
          <w:rFonts w:cs="Arial"/>
          <w:b/>
        </w:rPr>
        <w:t>:  Maximum Material Storage, Mixing and Asphalt Discharge Temperatures</w:t>
      </w:r>
    </w:p>
    <w:tbl>
      <w:tblPr>
        <w:tblW w:w="0" w:type="auto"/>
        <w:tblInd w:w="-15" w:type="dxa"/>
        <w:tblLayout w:type="fixed"/>
        <w:tblCellMar>
          <w:top w:w="85" w:type="dxa"/>
          <w:left w:w="57" w:type="dxa"/>
          <w:bottom w:w="28" w:type="dxa"/>
          <w:right w:w="57" w:type="dxa"/>
        </w:tblCellMar>
        <w:tblLook w:val="0000" w:firstRow="0" w:lastRow="0" w:firstColumn="0" w:lastColumn="0" w:noHBand="0" w:noVBand="0"/>
      </w:tblPr>
      <w:tblGrid>
        <w:gridCol w:w="5823"/>
        <w:gridCol w:w="3391"/>
      </w:tblGrid>
      <w:tr w:rsidR="001274D7" w:rsidRPr="000F6E49" w14:paraId="7E6BACCC" w14:textId="77777777" w:rsidTr="0038587E">
        <w:trPr>
          <w:cantSplit/>
        </w:trPr>
        <w:tc>
          <w:tcPr>
            <w:tcW w:w="5823" w:type="dxa"/>
            <w:tcBorders>
              <w:top w:val="single" w:sz="12" w:space="0" w:color="auto"/>
              <w:left w:val="single" w:sz="12" w:space="0" w:color="auto"/>
              <w:bottom w:val="single" w:sz="12" w:space="0" w:color="auto"/>
              <w:right w:val="single" w:sz="8" w:space="0" w:color="auto"/>
            </w:tcBorders>
            <w:tcMar>
              <w:top w:w="57" w:type="dxa"/>
            </w:tcMar>
            <w:vAlign w:val="center"/>
          </w:tcPr>
          <w:p w14:paraId="6286FF4E" w14:textId="77777777" w:rsidR="001274D7" w:rsidRPr="000F6E49" w:rsidRDefault="001274D7" w:rsidP="007646C9">
            <w:pPr>
              <w:jc w:val="center"/>
              <w:rPr>
                <w:rFonts w:cs="Arial"/>
                <w:b/>
                <w:lang w:val="en-AU"/>
              </w:rPr>
            </w:pPr>
            <w:r w:rsidRPr="000F6E49">
              <w:rPr>
                <w:rFonts w:cs="Arial"/>
                <w:b/>
                <w:lang w:val="en-AU"/>
              </w:rPr>
              <w:t>Material</w:t>
            </w:r>
          </w:p>
        </w:tc>
        <w:tc>
          <w:tcPr>
            <w:tcW w:w="3391" w:type="dxa"/>
            <w:tcBorders>
              <w:top w:val="single" w:sz="12" w:space="0" w:color="auto"/>
              <w:left w:val="nil"/>
              <w:bottom w:val="single" w:sz="12" w:space="0" w:color="auto"/>
              <w:right w:val="single" w:sz="12" w:space="0" w:color="auto"/>
            </w:tcBorders>
            <w:tcMar>
              <w:top w:w="57" w:type="dxa"/>
            </w:tcMar>
            <w:vAlign w:val="center"/>
          </w:tcPr>
          <w:p w14:paraId="6FFD350A" w14:textId="77777777" w:rsidR="001274D7" w:rsidRPr="000F6E49" w:rsidRDefault="001274D7" w:rsidP="007646C9">
            <w:pPr>
              <w:jc w:val="center"/>
              <w:rPr>
                <w:rFonts w:cs="Arial"/>
                <w:b/>
                <w:lang w:val="en-AU"/>
              </w:rPr>
            </w:pPr>
            <w:r w:rsidRPr="000F6E49">
              <w:rPr>
                <w:rFonts w:cs="Arial"/>
                <w:b/>
                <w:lang w:val="en-AU"/>
              </w:rPr>
              <w:t xml:space="preserve">Temperature </w:t>
            </w:r>
            <w:r w:rsidRPr="000F6E49">
              <w:rPr>
                <w:rFonts w:cs="Arial"/>
                <w:b/>
                <w:lang w:val="en-AU"/>
              </w:rPr>
              <w:sym w:font="Symbol" w:char="F0B0"/>
            </w:r>
            <w:r w:rsidRPr="000F6E49">
              <w:rPr>
                <w:rFonts w:cs="Arial"/>
                <w:b/>
                <w:lang w:val="en-AU"/>
              </w:rPr>
              <w:t>C</w:t>
            </w:r>
          </w:p>
          <w:p w14:paraId="5FE8BB70" w14:textId="77777777" w:rsidR="001274D7" w:rsidRPr="000F6E49" w:rsidRDefault="001274D7" w:rsidP="007646C9">
            <w:pPr>
              <w:jc w:val="center"/>
              <w:rPr>
                <w:rFonts w:cs="Arial"/>
                <w:b/>
                <w:lang w:val="en-AU"/>
              </w:rPr>
            </w:pPr>
            <w:r w:rsidRPr="000F6E49">
              <w:rPr>
                <w:rFonts w:cs="Arial"/>
                <w:b/>
                <w:lang w:val="en-AU"/>
              </w:rPr>
              <w:t>(max)</w:t>
            </w:r>
          </w:p>
        </w:tc>
      </w:tr>
      <w:tr w:rsidR="001274D7" w:rsidRPr="000F6E49" w14:paraId="4EC554C9" w14:textId="77777777" w:rsidTr="0038587E">
        <w:trPr>
          <w:cantSplit/>
        </w:trPr>
        <w:tc>
          <w:tcPr>
            <w:tcW w:w="5823" w:type="dxa"/>
            <w:tcBorders>
              <w:top w:val="single" w:sz="12" w:space="0" w:color="auto"/>
              <w:left w:val="single" w:sz="12" w:space="0" w:color="auto"/>
              <w:bottom w:val="single" w:sz="6" w:space="0" w:color="auto"/>
              <w:right w:val="single" w:sz="8" w:space="0" w:color="auto"/>
            </w:tcBorders>
          </w:tcPr>
          <w:p w14:paraId="03D10AA5" w14:textId="77777777" w:rsidR="001274D7" w:rsidRPr="000F6E49" w:rsidRDefault="001274D7" w:rsidP="007646C9">
            <w:pPr>
              <w:rPr>
                <w:rFonts w:cs="Arial"/>
                <w:lang w:val="en-AU"/>
              </w:rPr>
            </w:pPr>
            <w:r w:rsidRPr="000F6E49">
              <w:rPr>
                <w:rFonts w:cs="Arial"/>
                <w:lang w:val="en-AU"/>
              </w:rPr>
              <w:t>Binder plant storage</w:t>
            </w:r>
          </w:p>
        </w:tc>
        <w:tc>
          <w:tcPr>
            <w:tcW w:w="3391" w:type="dxa"/>
            <w:tcBorders>
              <w:top w:val="single" w:sz="12" w:space="0" w:color="auto"/>
              <w:left w:val="nil"/>
              <w:bottom w:val="single" w:sz="6" w:space="0" w:color="auto"/>
              <w:right w:val="single" w:sz="12" w:space="0" w:color="auto"/>
            </w:tcBorders>
          </w:tcPr>
          <w:p w14:paraId="05920B3A" w14:textId="728AEBE7" w:rsidR="001274D7" w:rsidRPr="000F6E49" w:rsidRDefault="001274D7" w:rsidP="007646C9">
            <w:pPr>
              <w:jc w:val="center"/>
              <w:rPr>
                <w:rFonts w:cs="Arial"/>
                <w:lang w:val="en-AU"/>
              </w:rPr>
            </w:pPr>
            <w:r w:rsidRPr="000F6E49">
              <w:rPr>
                <w:rFonts w:cs="Arial"/>
                <w:lang w:val="en-AU"/>
              </w:rPr>
              <w:t>190</w:t>
            </w:r>
          </w:p>
        </w:tc>
      </w:tr>
      <w:tr w:rsidR="001274D7" w:rsidRPr="000F6E49" w14:paraId="2877D565" w14:textId="77777777" w:rsidTr="0038587E">
        <w:trPr>
          <w:cantSplit/>
        </w:trPr>
        <w:tc>
          <w:tcPr>
            <w:tcW w:w="5823" w:type="dxa"/>
            <w:tcBorders>
              <w:top w:val="single" w:sz="6" w:space="0" w:color="auto"/>
              <w:left w:val="single" w:sz="12" w:space="0" w:color="auto"/>
              <w:bottom w:val="single" w:sz="6" w:space="0" w:color="auto"/>
              <w:right w:val="single" w:sz="8" w:space="0" w:color="auto"/>
            </w:tcBorders>
          </w:tcPr>
          <w:p w14:paraId="03527D03" w14:textId="77777777" w:rsidR="001274D7" w:rsidRPr="000F6E49" w:rsidRDefault="001274D7" w:rsidP="007646C9">
            <w:pPr>
              <w:rPr>
                <w:rFonts w:cs="Arial"/>
                <w:lang w:val="en-AU"/>
              </w:rPr>
            </w:pPr>
            <w:r w:rsidRPr="000F6E49">
              <w:rPr>
                <w:rFonts w:cs="Arial"/>
                <w:lang w:val="en-AU"/>
              </w:rPr>
              <w:t>Aggregates before binder is added</w:t>
            </w:r>
          </w:p>
        </w:tc>
        <w:tc>
          <w:tcPr>
            <w:tcW w:w="3391" w:type="dxa"/>
            <w:tcBorders>
              <w:top w:val="single" w:sz="6" w:space="0" w:color="auto"/>
              <w:left w:val="nil"/>
              <w:bottom w:val="single" w:sz="6" w:space="0" w:color="auto"/>
              <w:right w:val="single" w:sz="12" w:space="0" w:color="auto"/>
            </w:tcBorders>
          </w:tcPr>
          <w:p w14:paraId="0E929557" w14:textId="77777777" w:rsidR="001274D7" w:rsidRPr="000F6E49" w:rsidRDefault="001274D7" w:rsidP="007646C9">
            <w:pPr>
              <w:jc w:val="center"/>
              <w:rPr>
                <w:rFonts w:cs="Arial"/>
                <w:lang w:val="en-AU"/>
              </w:rPr>
            </w:pPr>
            <w:r w:rsidRPr="000F6E49">
              <w:rPr>
                <w:rFonts w:cs="Arial"/>
                <w:lang w:val="en-AU"/>
              </w:rPr>
              <w:t>200</w:t>
            </w:r>
          </w:p>
        </w:tc>
      </w:tr>
      <w:tr w:rsidR="001274D7" w:rsidRPr="000F6E49" w14:paraId="0D309EED" w14:textId="77777777" w:rsidTr="0038587E">
        <w:trPr>
          <w:cantSplit/>
        </w:trPr>
        <w:tc>
          <w:tcPr>
            <w:tcW w:w="5823" w:type="dxa"/>
            <w:tcBorders>
              <w:top w:val="single" w:sz="6" w:space="0" w:color="auto"/>
              <w:left w:val="single" w:sz="12" w:space="0" w:color="auto"/>
              <w:bottom w:val="single" w:sz="12" w:space="0" w:color="auto"/>
              <w:right w:val="single" w:sz="8" w:space="0" w:color="auto"/>
            </w:tcBorders>
          </w:tcPr>
          <w:p w14:paraId="1842434F" w14:textId="77777777" w:rsidR="001274D7" w:rsidRPr="000F6E49" w:rsidRDefault="001274D7" w:rsidP="007646C9">
            <w:pPr>
              <w:rPr>
                <w:rFonts w:cs="Arial"/>
                <w:lang w:val="en-AU"/>
              </w:rPr>
            </w:pPr>
            <w:r w:rsidRPr="000F6E49">
              <w:rPr>
                <w:rFonts w:cs="Arial"/>
                <w:lang w:val="en-AU"/>
              </w:rPr>
              <w:t>Asphalt at discharge from asphalt plant</w:t>
            </w:r>
          </w:p>
        </w:tc>
        <w:tc>
          <w:tcPr>
            <w:tcW w:w="3391" w:type="dxa"/>
            <w:tcBorders>
              <w:top w:val="single" w:sz="6" w:space="0" w:color="auto"/>
              <w:left w:val="nil"/>
              <w:bottom w:val="single" w:sz="12" w:space="0" w:color="auto"/>
              <w:right w:val="single" w:sz="12" w:space="0" w:color="auto"/>
            </w:tcBorders>
          </w:tcPr>
          <w:p w14:paraId="411CE958" w14:textId="63A65606" w:rsidR="001274D7" w:rsidRPr="000F6E49" w:rsidRDefault="001274D7" w:rsidP="007646C9">
            <w:pPr>
              <w:jc w:val="center"/>
              <w:rPr>
                <w:rFonts w:cs="Arial"/>
                <w:lang w:val="en-AU"/>
              </w:rPr>
            </w:pPr>
            <w:r w:rsidRPr="000F6E49">
              <w:rPr>
                <w:rFonts w:cs="Arial"/>
                <w:lang w:val="en-AU"/>
              </w:rPr>
              <w:t>190</w:t>
            </w:r>
          </w:p>
        </w:tc>
      </w:tr>
    </w:tbl>
    <w:p w14:paraId="2E8D24AB" w14:textId="77777777" w:rsidR="001274D7" w:rsidRPr="000F6E49" w:rsidRDefault="001274D7" w:rsidP="00BD0F2F">
      <w:pPr>
        <w:spacing w:before="200"/>
        <w:rPr>
          <w:rFonts w:cs="Arial"/>
        </w:rPr>
      </w:pPr>
    </w:p>
    <w:p w14:paraId="47A1CACC" w14:textId="344E2AEA" w:rsidR="00687E60" w:rsidRPr="000F6E49" w:rsidRDefault="00687E60" w:rsidP="00687E60">
      <w:pPr>
        <w:pStyle w:val="Heading3SS"/>
      </w:pPr>
      <w:r w:rsidRPr="000F6E49">
        <w:t>418.0</w:t>
      </w:r>
      <w:r w:rsidR="008B6E66" w:rsidRPr="000F6E49">
        <w:t>8</w:t>
      </w:r>
      <w:r w:rsidRPr="000F6E49">
        <w:tab/>
        <w:t>TOLERANCES ON MIX PRODUCTION</w:t>
      </w:r>
    </w:p>
    <w:p w14:paraId="420DBA4E" w14:textId="23BF9604" w:rsidR="000F120F" w:rsidRPr="000F6E49" w:rsidRDefault="000F120F" w:rsidP="00CA4068">
      <w:pPr>
        <w:rPr>
          <w:rFonts w:cs="Arial"/>
        </w:rPr>
      </w:pPr>
    </w:p>
    <w:p w14:paraId="07EAE3A9" w14:textId="3637EB9D" w:rsidR="00687E60" w:rsidRDefault="00687E60" w:rsidP="00CA4068">
      <w:pPr>
        <w:rPr>
          <w:rFonts w:cs="Arial"/>
        </w:rPr>
      </w:pPr>
      <w:r w:rsidRPr="000F6E49">
        <w:rPr>
          <w:rFonts w:cs="Arial"/>
        </w:rPr>
        <w:t xml:space="preserve">The production tolerances on the target grading of the mix before compaction shall be as specified in </w:t>
      </w:r>
      <w:r w:rsidR="00B2387C">
        <w:rPr>
          <w:rFonts w:cs="Arial"/>
        </w:rPr>
        <w:t xml:space="preserve">Clause </w:t>
      </w:r>
      <w:r w:rsidRPr="000F6E49">
        <w:rPr>
          <w:rFonts w:cs="Arial"/>
        </w:rPr>
        <w:t>407.10.</w:t>
      </w:r>
    </w:p>
    <w:p w14:paraId="7655D190" w14:textId="77777777" w:rsidR="00E601B0" w:rsidRPr="000F6E49" w:rsidRDefault="00E601B0" w:rsidP="00CA4068">
      <w:pPr>
        <w:rPr>
          <w:rFonts w:cs="Arial"/>
        </w:rPr>
      </w:pPr>
    </w:p>
    <w:p w14:paraId="190A20C8" w14:textId="77777777" w:rsidR="00687E60" w:rsidRPr="000F6E49" w:rsidRDefault="00687E60" w:rsidP="00CA4068">
      <w:pPr>
        <w:rPr>
          <w:rFonts w:cs="Arial"/>
        </w:rPr>
      </w:pPr>
    </w:p>
    <w:p w14:paraId="23B10B2B" w14:textId="5274B529" w:rsidR="000F120F" w:rsidRPr="000F6E49" w:rsidRDefault="000F120F" w:rsidP="00CA4068">
      <w:pPr>
        <w:pStyle w:val="Heading3SS"/>
      </w:pPr>
      <w:bookmarkStart w:id="3" w:name="_Hlk144724907"/>
      <w:r w:rsidRPr="000F6E49">
        <w:t>418.0</w:t>
      </w:r>
      <w:r w:rsidR="008B6E66" w:rsidRPr="000F6E49">
        <w:t>9</w:t>
      </w:r>
      <w:r w:rsidRPr="000F6E49">
        <w:tab/>
        <w:t>FREQUENCY OF INSPECTION AND TESTING AT THE MIXING PLANT</w:t>
      </w:r>
    </w:p>
    <w:bookmarkEnd w:id="3"/>
    <w:p w14:paraId="79E7283D" w14:textId="30D7F879" w:rsidR="00687E60" w:rsidRPr="000F6E49" w:rsidRDefault="000C60DD" w:rsidP="00F107C1">
      <w:pPr>
        <w:spacing w:before="200"/>
        <w:ind w:left="284" w:hanging="284"/>
        <w:rPr>
          <w:rFonts w:cs="Arial"/>
        </w:rPr>
      </w:pPr>
      <w:r w:rsidRPr="000F6E49">
        <w:rPr>
          <w:rFonts w:cs="Arial"/>
        </w:rPr>
        <w:t>(a)</w:t>
      </w:r>
      <w:r w:rsidR="008674A0">
        <w:rPr>
          <w:rFonts w:cs="Arial"/>
        </w:rPr>
        <w:t xml:space="preserve">  </w:t>
      </w:r>
      <w:r w:rsidR="00687E60" w:rsidRPr="000F6E49">
        <w:rPr>
          <w:rFonts w:cs="Arial"/>
        </w:rPr>
        <w:t>Binder</w:t>
      </w:r>
    </w:p>
    <w:p w14:paraId="001ABDB2" w14:textId="5467FCE0" w:rsidR="00893BDD" w:rsidRPr="000F6E49" w:rsidRDefault="000F120F" w:rsidP="004C2AD3">
      <w:pPr>
        <w:spacing w:before="200"/>
        <w:ind w:left="284"/>
        <w:rPr>
          <w:rFonts w:cs="Arial"/>
        </w:rPr>
      </w:pPr>
      <w:r w:rsidRPr="000F6E49">
        <w:rPr>
          <w:rFonts w:cs="Arial"/>
        </w:rPr>
        <w:t>For conformance testing of the binder, samples shall be prepared in accordance with</w:t>
      </w:r>
      <w:r w:rsidR="00D71789" w:rsidRPr="000F6E49">
        <w:rPr>
          <w:rFonts w:cs="Arial"/>
        </w:rPr>
        <w:t xml:space="preserve"> EN 12594</w:t>
      </w:r>
      <w:r w:rsidR="004331A8">
        <w:rPr>
          <w:rFonts w:cs="Arial"/>
        </w:rPr>
        <w:t>.</w:t>
      </w:r>
      <w:r w:rsidR="00537AF7">
        <w:rPr>
          <w:rFonts w:cs="Arial"/>
        </w:rPr>
        <w:t xml:space="preserve"> NATA accreditation to EN 12594 is not required.</w:t>
      </w:r>
    </w:p>
    <w:p w14:paraId="3B6BC37E" w14:textId="5F557AD8" w:rsidR="00687E60" w:rsidRPr="000F6E49" w:rsidRDefault="00687E60" w:rsidP="004C2AD3">
      <w:pPr>
        <w:spacing w:before="200"/>
        <w:ind w:left="284"/>
        <w:rPr>
          <w:rFonts w:cs="Arial"/>
        </w:rPr>
      </w:pPr>
      <w:r w:rsidRPr="000F6E49">
        <w:rPr>
          <w:rFonts w:cs="Arial"/>
        </w:rPr>
        <w:t xml:space="preserve">The maximum batch size shall comprise the discrete quantity of binder in the </w:t>
      </w:r>
      <w:r w:rsidR="00872754">
        <w:rPr>
          <w:rFonts w:cs="Arial"/>
        </w:rPr>
        <w:t>m</w:t>
      </w:r>
      <w:r w:rsidRPr="000F6E49">
        <w:rPr>
          <w:rFonts w:cs="Arial"/>
        </w:rPr>
        <w:t>anufacturer’s storage tank. The binder in the storage tank shall represent a new batch when either:</w:t>
      </w:r>
    </w:p>
    <w:p w14:paraId="30378953" w14:textId="445B08AE" w:rsidR="00687E60" w:rsidRPr="00B84D10" w:rsidRDefault="00687E60" w:rsidP="004C2AD3">
      <w:pPr>
        <w:pStyle w:val="ListParagraph"/>
        <w:numPr>
          <w:ilvl w:val="0"/>
          <w:numId w:val="28"/>
        </w:numPr>
        <w:tabs>
          <w:tab w:val="left" w:pos="454"/>
        </w:tabs>
        <w:spacing w:before="120" w:line="276" w:lineRule="auto"/>
        <w:rPr>
          <w:rFonts w:cs="Arial"/>
        </w:rPr>
      </w:pPr>
      <w:r w:rsidRPr="00F107C1">
        <w:rPr>
          <w:rFonts w:ascii="Arial" w:hAnsi="Arial" w:cs="Arial"/>
        </w:rPr>
        <w:t>binder is added to the storage tank, or</w:t>
      </w:r>
    </w:p>
    <w:p w14:paraId="5D9BF2BE" w14:textId="3E31DECD" w:rsidR="00687E60" w:rsidRPr="00B84D10" w:rsidRDefault="00687E60" w:rsidP="004C2AD3">
      <w:pPr>
        <w:pStyle w:val="ListParagraph"/>
        <w:numPr>
          <w:ilvl w:val="0"/>
          <w:numId w:val="28"/>
        </w:numPr>
        <w:tabs>
          <w:tab w:val="left" w:pos="454"/>
        </w:tabs>
        <w:spacing w:before="120" w:line="276" w:lineRule="auto"/>
        <w:rPr>
          <w:rFonts w:cs="Arial"/>
        </w:rPr>
      </w:pPr>
      <w:r w:rsidRPr="00F107C1">
        <w:rPr>
          <w:rFonts w:ascii="Arial" w:hAnsi="Arial" w:cs="Arial"/>
        </w:rPr>
        <w:t xml:space="preserve">binder has been stored for a period of </w:t>
      </w:r>
      <w:r w:rsidR="00D7652B" w:rsidRPr="00F107C1">
        <w:rPr>
          <w:rFonts w:ascii="Arial" w:hAnsi="Arial" w:cs="Arial"/>
        </w:rPr>
        <w:t>1 month</w:t>
      </w:r>
      <w:r w:rsidRPr="00F107C1">
        <w:rPr>
          <w:rFonts w:ascii="Arial" w:hAnsi="Arial" w:cs="Arial"/>
        </w:rPr>
        <w:t xml:space="preserve"> without the addition of new binder to the storage tank.</w:t>
      </w:r>
    </w:p>
    <w:p w14:paraId="2BC5EA6D" w14:textId="08F7EDB5" w:rsidR="009F0161" w:rsidRPr="000F6E49" w:rsidRDefault="009F0161" w:rsidP="004C2AD3">
      <w:pPr>
        <w:spacing w:before="200"/>
        <w:ind w:left="284"/>
        <w:rPr>
          <w:rFonts w:cs="Arial"/>
        </w:rPr>
      </w:pPr>
      <w:r w:rsidRPr="000F6E49">
        <w:rPr>
          <w:rFonts w:cs="Arial"/>
        </w:rPr>
        <w:t xml:space="preserve">The minimum frequency of sampling and testing from the </w:t>
      </w:r>
      <w:r w:rsidR="00EF4F56">
        <w:rPr>
          <w:rFonts w:cs="Arial"/>
        </w:rPr>
        <w:t>m</w:t>
      </w:r>
      <w:r w:rsidR="00EF4F56" w:rsidRPr="000F6E49">
        <w:rPr>
          <w:rFonts w:cs="Arial"/>
        </w:rPr>
        <w:t xml:space="preserve">anufacturer’s </w:t>
      </w:r>
      <w:r w:rsidRPr="000F6E49">
        <w:rPr>
          <w:rFonts w:cs="Arial"/>
        </w:rPr>
        <w:t>storage tanks shall be as follows:</w:t>
      </w:r>
    </w:p>
    <w:p w14:paraId="62BF1AA8" w14:textId="4DA4BC07" w:rsidR="009F0161" w:rsidRPr="00B84D10" w:rsidRDefault="009F0161" w:rsidP="003230E9">
      <w:pPr>
        <w:pStyle w:val="ListParagraph"/>
        <w:numPr>
          <w:ilvl w:val="0"/>
          <w:numId w:val="25"/>
        </w:numPr>
        <w:tabs>
          <w:tab w:val="left" w:pos="454"/>
        </w:tabs>
        <w:spacing w:before="120" w:line="276" w:lineRule="auto"/>
        <w:ind w:left="1134" w:hanging="425"/>
        <w:rPr>
          <w:rFonts w:cs="Arial"/>
        </w:rPr>
      </w:pPr>
      <w:r w:rsidRPr="00F107C1">
        <w:rPr>
          <w:rFonts w:ascii="Arial" w:hAnsi="Arial" w:cs="Arial"/>
        </w:rPr>
        <w:t xml:space="preserve">each batch - </w:t>
      </w:r>
      <w:r w:rsidR="00E54C41" w:rsidRPr="00F107C1">
        <w:rPr>
          <w:rFonts w:ascii="Arial" w:hAnsi="Arial" w:cs="Arial"/>
        </w:rPr>
        <w:t xml:space="preserve">penetration at 25°C and softening point, </w:t>
      </w:r>
      <w:r w:rsidR="00DD658F" w:rsidRPr="00F107C1">
        <w:rPr>
          <w:rFonts w:ascii="Arial" w:hAnsi="Arial" w:cs="Arial"/>
        </w:rPr>
        <w:t xml:space="preserve">then </w:t>
      </w:r>
    </w:p>
    <w:p w14:paraId="3EBB93EF" w14:textId="6B5A0FC7" w:rsidR="00094F17" w:rsidRPr="0085282A" w:rsidRDefault="00094F17" w:rsidP="003230E9">
      <w:pPr>
        <w:pStyle w:val="ListParagraph"/>
        <w:numPr>
          <w:ilvl w:val="0"/>
          <w:numId w:val="25"/>
        </w:numPr>
        <w:tabs>
          <w:tab w:val="left" w:pos="454"/>
        </w:tabs>
        <w:spacing w:before="120" w:line="276" w:lineRule="auto"/>
        <w:ind w:left="1134" w:hanging="425"/>
        <w:rPr>
          <w:rFonts w:cs="Arial"/>
        </w:rPr>
      </w:pPr>
      <w:r w:rsidRPr="00F107C1">
        <w:rPr>
          <w:rFonts w:ascii="Arial" w:hAnsi="Arial" w:cs="Arial"/>
        </w:rPr>
        <w:t xml:space="preserve">3 monthly and at change in feed stock thereafter – </w:t>
      </w:r>
      <w:bookmarkStart w:id="4" w:name="_Hlk144726020"/>
      <w:r w:rsidRPr="00F107C1">
        <w:rPr>
          <w:rFonts w:ascii="Arial" w:hAnsi="Arial" w:cs="Arial"/>
        </w:rPr>
        <w:t xml:space="preserve">all properties </w:t>
      </w:r>
      <w:r w:rsidR="00872754">
        <w:rPr>
          <w:rFonts w:ascii="Arial" w:hAnsi="Arial" w:cs="Arial"/>
        </w:rPr>
        <w:t xml:space="preserve">as </w:t>
      </w:r>
      <w:r w:rsidRPr="00F107C1">
        <w:rPr>
          <w:rFonts w:ascii="Arial" w:hAnsi="Arial" w:cs="Arial"/>
        </w:rPr>
        <w:t>listed in Table 418.0</w:t>
      </w:r>
      <w:r w:rsidR="000C60DD" w:rsidRPr="00F107C1">
        <w:rPr>
          <w:rFonts w:ascii="Arial" w:hAnsi="Arial" w:cs="Arial"/>
        </w:rPr>
        <w:t>41</w:t>
      </w:r>
      <w:bookmarkEnd w:id="4"/>
      <w:r w:rsidRPr="00F107C1">
        <w:rPr>
          <w:rFonts w:ascii="Arial" w:hAnsi="Arial" w:cs="Arial"/>
        </w:rPr>
        <w:t>.</w:t>
      </w:r>
    </w:p>
    <w:p w14:paraId="55A11815" w14:textId="77777777" w:rsidR="0085282A" w:rsidRPr="0085282A" w:rsidRDefault="0085282A" w:rsidP="0085282A">
      <w:pPr>
        <w:tabs>
          <w:tab w:val="left" w:pos="454"/>
        </w:tabs>
        <w:spacing w:before="120" w:line="276" w:lineRule="auto"/>
        <w:rPr>
          <w:rFonts w:cs="Arial"/>
        </w:rPr>
      </w:pPr>
    </w:p>
    <w:p w14:paraId="6275CD3D" w14:textId="0E51ED50" w:rsidR="00AA5228" w:rsidRPr="000F6E49" w:rsidRDefault="009F0161" w:rsidP="0085282A">
      <w:pPr>
        <w:tabs>
          <w:tab w:val="left" w:pos="454"/>
        </w:tabs>
        <w:spacing w:before="120"/>
        <w:ind w:left="284" w:hanging="454"/>
        <w:rPr>
          <w:rFonts w:cs="Arial"/>
        </w:rPr>
      </w:pPr>
      <w:r w:rsidRPr="000F6E49">
        <w:rPr>
          <w:rFonts w:cs="Arial"/>
        </w:rPr>
        <w:tab/>
      </w:r>
      <w:r w:rsidR="000F120F" w:rsidRPr="000F6E49">
        <w:rPr>
          <w:rFonts w:cs="Arial"/>
        </w:rPr>
        <w:t xml:space="preserve">Sampling at the point of delivery (binder storage tank at the asphalt plant) shall be undertaken </w:t>
      </w:r>
      <w:r w:rsidR="00DD658F" w:rsidRPr="000F6E49">
        <w:rPr>
          <w:rFonts w:cs="Arial"/>
        </w:rPr>
        <w:t>for each new load delivered into the binder storage tanks</w:t>
      </w:r>
      <w:r w:rsidR="000F120F" w:rsidRPr="000F6E49">
        <w:rPr>
          <w:rFonts w:cs="Arial"/>
        </w:rPr>
        <w:t>.</w:t>
      </w:r>
      <w:r w:rsidR="00813158" w:rsidRPr="000F6E49">
        <w:rPr>
          <w:rFonts w:cs="Arial"/>
        </w:rPr>
        <w:t xml:space="preserve"> </w:t>
      </w:r>
      <w:r w:rsidR="000F120F" w:rsidRPr="000F6E49">
        <w:rPr>
          <w:rFonts w:cs="Arial"/>
        </w:rPr>
        <w:t xml:space="preserve"> </w:t>
      </w:r>
      <w:r w:rsidR="00AA5228" w:rsidRPr="000F6E49">
        <w:rPr>
          <w:rFonts w:cs="Arial"/>
        </w:rPr>
        <w:t>Samples shall be tested for penetration and softening point and shall comply with the requirements of Table 418.04</w:t>
      </w:r>
      <w:r w:rsidR="00D7652B" w:rsidRPr="000F6E49">
        <w:rPr>
          <w:rFonts w:cs="Arial"/>
        </w:rPr>
        <w:t>1.</w:t>
      </w:r>
    </w:p>
    <w:p w14:paraId="75C12630" w14:textId="77777777" w:rsidR="00AA5228" w:rsidRPr="000F6E49" w:rsidRDefault="00AA5228" w:rsidP="004C2AD3">
      <w:pPr>
        <w:ind w:left="284"/>
        <w:rPr>
          <w:rFonts w:cs="Arial"/>
        </w:rPr>
      </w:pPr>
    </w:p>
    <w:p w14:paraId="324FFAF6" w14:textId="45CC2529" w:rsidR="000F120F" w:rsidRPr="000F6E49" w:rsidRDefault="000F120F" w:rsidP="004C2AD3">
      <w:pPr>
        <w:ind w:left="284"/>
        <w:rPr>
          <w:rFonts w:cs="Arial"/>
        </w:rPr>
      </w:pPr>
      <w:r w:rsidRPr="000F6E49">
        <w:rPr>
          <w:rFonts w:cs="Arial"/>
        </w:rPr>
        <w:t>Additional samples shall be taken and tested when the binder has been stored for a period of more than 14 days without the addition of new binder to the binder storage tank. Samples shall be tested for penetration and softening point and shall comply</w:t>
      </w:r>
      <w:r w:rsidR="00813158" w:rsidRPr="000F6E49">
        <w:rPr>
          <w:rFonts w:cs="Arial"/>
        </w:rPr>
        <w:t xml:space="preserve"> with the requirements of Table </w:t>
      </w:r>
      <w:r w:rsidRPr="000F6E49">
        <w:rPr>
          <w:rFonts w:cs="Arial"/>
        </w:rPr>
        <w:t>418.04</w:t>
      </w:r>
      <w:r w:rsidR="00D7652B" w:rsidRPr="000F6E49">
        <w:rPr>
          <w:rFonts w:cs="Arial"/>
        </w:rPr>
        <w:t>1</w:t>
      </w:r>
      <w:r w:rsidRPr="000F6E49">
        <w:rPr>
          <w:rFonts w:cs="Arial"/>
        </w:rPr>
        <w:t>.</w:t>
      </w:r>
    </w:p>
    <w:p w14:paraId="2DC34393" w14:textId="5ABF66C8" w:rsidR="00AA5228" w:rsidRPr="000F6E49" w:rsidRDefault="000C60DD" w:rsidP="00813158">
      <w:pPr>
        <w:spacing w:before="200"/>
        <w:rPr>
          <w:rFonts w:cs="Arial"/>
        </w:rPr>
      </w:pPr>
      <w:r w:rsidRPr="000F6E49">
        <w:rPr>
          <w:rFonts w:cs="Arial"/>
        </w:rPr>
        <w:t xml:space="preserve">(b) </w:t>
      </w:r>
      <w:r w:rsidR="008674A0">
        <w:rPr>
          <w:rFonts w:cs="Arial"/>
        </w:rPr>
        <w:t xml:space="preserve">  </w:t>
      </w:r>
      <w:r w:rsidR="00AA5228" w:rsidRPr="000F6E49">
        <w:rPr>
          <w:rFonts w:cs="Arial"/>
        </w:rPr>
        <w:t>Asphalt</w:t>
      </w:r>
    </w:p>
    <w:p w14:paraId="415B8622" w14:textId="376EAA45" w:rsidR="000F120F" w:rsidRPr="000F6E49" w:rsidRDefault="000F120F" w:rsidP="008674A0">
      <w:pPr>
        <w:spacing w:before="200"/>
        <w:ind w:left="284"/>
        <w:rPr>
          <w:rFonts w:cs="Arial"/>
        </w:rPr>
      </w:pPr>
      <w:r w:rsidRPr="000F6E49">
        <w:rPr>
          <w:rFonts w:cs="Arial"/>
        </w:rPr>
        <w:t>Further to Table</w:t>
      </w:r>
      <w:r w:rsidR="00813158" w:rsidRPr="000F6E49">
        <w:rPr>
          <w:rFonts w:cs="Arial"/>
        </w:rPr>
        <w:t> </w:t>
      </w:r>
      <w:r w:rsidRPr="000F6E49">
        <w:rPr>
          <w:rFonts w:cs="Arial"/>
        </w:rPr>
        <w:t>407.1</w:t>
      </w:r>
      <w:r w:rsidR="00AA5228" w:rsidRPr="000F6E49">
        <w:rPr>
          <w:rFonts w:cs="Arial"/>
        </w:rPr>
        <w:t>5</w:t>
      </w:r>
      <w:r w:rsidRPr="000F6E49">
        <w:rPr>
          <w:rFonts w:cs="Arial"/>
        </w:rPr>
        <w:t>1 the minimum frequency for Binder Content and Full Sieve Analysis of Asphalt (full extraction test) shall be one test per 150 </w:t>
      </w:r>
      <w:proofErr w:type="spellStart"/>
      <w:r w:rsidRPr="000F6E49">
        <w:rPr>
          <w:rFonts w:cs="Arial"/>
        </w:rPr>
        <w:t>tonnes</w:t>
      </w:r>
      <w:proofErr w:type="spellEnd"/>
      <w:r w:rsidRPr="000F6E49">
        <w:rPr>
          <w:rFonts w:cs="Arial"/>
        </w:rPr>
        <w:t xml:space="preserve"> or part thereof of the asphalt plant production on a representative sample taken from a delivery truck.  The Binder Content and Full Sieve Analysis of the Asphalt results shall be provided to the Superintendent.</w:t>
      </w:r>
    </w:p>
    <w:p w14:paraId="5FD02502" w14:textId="27D80B99" w:rsidR="00640863" w:rsidRPr="000F6E49" w:rsidRDefault="00640863" w:rsidP="008674A0">
      <w:pPr>
        <w:spacing w:before="200"/>
        <w:ind w:left="284"/>
        <w:rPr>
          <w:rFonts w:cs="Arial"/>
        </w:rPr>
      </w:pPr>
      <w:r w:rsidRPr="000F6E49">
        <w:rPr>
          <w:rFonts w:cs="Arial"/>
        </w:rPr>
        <w:t>The degree of particle coating shall be not less than 99%</w:t>
      </w:r>
      <w:r w:rsidR="004331A8">
        <w:rPr>
          <w:rFonts w:cs="Arial"/>
        </w:rPr>
        <w:t xml:space="preserve"> </w:t>
      </w:r>
      <w:r w:rsidR="004331A8" w:rsidRPr="000F6E49">
        <w:rPr>
          <w:rFonts w:cs="Arial"/>
        </w:rPr>
        <w:t>once discharged from the asphalt plant into delivery vehicles</w:t>
      </w:r>
      <w:r w:rsidR="004331A8">
        <w:rPr>
          <w:rFonts w:cs="Arial"/>
        </w:rPr>
        <w:t xml:space="preserve">. </w:t>
      </w:r>
      <w:r w:rsidR="004331A8" w:rsidRPr="004331A8">
        <w:rPr>
          <w:rFonts w:cs="Arial"/>
        </w:rPr>
        <w:t>Where requested by the Superintendent, testing for particle coating shall be undertaken in accordance with AS/NZS 2891.11</w:t>
      </w:r>
      <w:r w:rsidR="000C60DD" w:rsidRPr="000F6E49">
        <w:rPr>
          <w:rFonts w:cs="Arial"/>
        </w:rPr>
        <w:t>.</w:t>
      </w:r>
    </w:p>
    <w:p w14:paraId="6F35AD3A" w14:textId="77777777" w:rsidR="000F120F" w:rsidRPr="000F6E49" w:rsidRDefault="000F120F" w:rsidP="00CA4068">
      <w:pPr>
        <w:rPr>
          <w:rFonts w:cs="Arial"/>
        </w:rPr>
      </w:pPr>
    </w:p>
    <w:p w14:paraId="794372F7" w14:textId="77777777" w:rsidR="000F120F" w:rsidRPr="000F6E49" w:rsidRDefault="000F120F" w:rsidP="00CA4068">
      <w:pPr>
        <w:rPr>
          <w:rFonts w:cs="Arial"/>
        </w:rPr>
      </w:pPr>
    </w:p>
    <w:p w14:paraId="2B9E7953" w14:textId="50D453E5" w:rsidR="000F120F" w:rsidRPr="000F6E49" w:rsidRDefault="000F120F" w:rsidP="00CA4068">
      <w:pPr>
        <w:pStyle w:val="Heading3SS"/>
      </w:pPr>
      <w:r w:rsidRPr="000F6E49">
        <w:t>4</w:t>
      </w:r>
      <w:r w:rsidR="00EE390F" w:rsidRPr="000F6E49">
        <w:t>18</w:t>
      </w:r>
      <w:r w:rsidRPr="000F6E49">
        <w:t>.</w:t>
      </w:r>
      <w:r w:rsidR="008B6E66" w:rsidRPr="000F6E49">
        <w:t>10</w:t>
      </w:r>
      <w:r w:rsidRPr="000F6E49">
        <w:tab/>
        <w:t>CONDITIONS FOR PLACING</w:t>
      </w:r>
    </w:p>
    <w:p w14:paraId="79A127E9" w14:textId="77777777" w:rsidR="000F120F" w:rsidRPr="000F6E49" w:rsidRDefault="000F120F" w:rsidP="007F0B3F">
      <w:pPr>
        <w:spacing w:before="200"/>
        <w:rPr>
          <w:rFonts w:cs="Arial"/>
        </w:rPr>
      </w:pPr>
      <w:r w:rsidRPr="000F6E49">
        <w:rPr>
          <w:rFonts w:cs="Arial"/>
        </w:rPr>
        <w:t>The surface on which the EME2 is to be placed shall be essentially dry and free from surface water.</w:t>
      </w:r>
    </w:p>
    <w:p w14:paraId="36850FC7" w14:textId="77777777" w:rsidR="000F120F" w:rsidRPr="000F6E49" w:rsidRDefault="000F120F" w:rsidP="00BA3361">
      <w:pPr>
        <w:spacing w:before="200"/>
        <w:rPr>
          <w:rFonts w:cs="Arial"/>
        </w:rPr>
      </w:pPr>
      <w:r w:rsidRPr="000F6E49">
        <w:rPr>
          <w:rFonts w:cs="Arial"/>
        </w:rPr>
        <w:t xml:space="preserve">EME2 shall not be placed when </w:t>
      </w:r>
      <w:proofErr w:type="gramStart"/>
      <w:r w:rsidRPr="000F6E49">
        <w:rPr>
          <w:rFonts w:cs="Arial"/>
        </w:rPr>
        <w:t>the majority of</w:t>
      </w:r>
      <w:proofErr w:type="gramEnd"/>
      <w:r w:rsidRPr="000F6E49">
        <w:rPr>
          <w:rFonts w:cs="Arial"/>
        </w:rPr>
        <w:t xml:space="preserve"> the area to be paved has a surface temperature of less than 5°C.</w:t>
      </w:r>
    </w:p>
    <w:p w14:paraId="29BB2221" w14:textId="77777777" w:rsidR="000F120F" w:rsidRPr="000F6E49" w:rsidRDefault="000F120F" w:rsidP="00914EE4">
      <w:pPr>
        <w:rPr>
          <w:rFonts w:cs="Arial"/>
        </w:rPr>
      </w:pPr>
    </w:p>
    <w:p w14:paraId="0B1927DB" w14:textId="77777777" w:rsidR="000F120F" w:rsidRPr="000F6E49" w:rsidRDefault="000F120F" w:rsidP="00914EE4">
      <w:pPr>
        <w:rPr>
          <w:rFonts w:cs="Arial"/>
        </w:rPr>
      </w:pPr>
    </w:p>
    <w:p w14:paraId="5F1AA432" w14:textId="3A9D853E" w:rsidR="000F120F" w:rsidRPr="000F6E49" w:rsidRDefault="000F120F" w:rsidP="00CA4068">
      <w:pPr>
        <w:pStyle w:val="Heading3SS"/>
      </w:pPr>
      <w:r w:rsidRPr="000F6E49">
        <w:t>418.</w:t>
      </w:r>
      <w:r w:rsidR="008B6E66" w:rsidRPr="000F6E49">
        <w:t>11</w:t>
      </w:r>
      <w:r w:rsidRPr="000F6E49">
        <w:tab/>
        <w:t>COMMENCEMENT OF PLACING</w:t>
      </w:r>
    </w:p>
    <w:p w14:paraId="1C19EF61" w14:textId="77777777" w:rsidR="000F120F" w:rsidRPr="000F6E49" w:rsidRDefault="000F120F" w:rsidP="00914EE4">
      <w:pPr>
        <w:tabs>
          <w:tab w:val="left" w:pos="0"/>
        </w:tabs>
        <w:spacing w:before="200"/>
        <w:ind w:hanging="567"/>
        <w:rPr>
          <w:rFonts w:cs="Arial"/>
          <w:b/>
          <w:bCs/>
          <w:spacing w:val="-6"/>
        </w:rPr>
      </w:pPr>
      <w:r w:rsidRPr="000F6E49">
        <w:rPr>
          <w:rFonts w:cs="Arial"/>
          <w:b/>
          <w:bCs/>
        </w:rPr>
        <w:t>HP</w:t>
      </w:r>
      <w:r w:rsidRPr="000F6E49">
        <w:rPr>
          <w:rFonts w:cs="Arial"/>
          <w:b/>
          <w:bCs/>
        </w:rPr>
        <w:tab/>
      </w:r>
      <w:r w:rsidRPr="000F6E49">
        <w:rPr>
          <w:rFonts w:cs="Arial"/>
          <w:b/>
          <w:bCs/>
          <w:spacing w:val="-6"/>
        </w:rPr>
        <w:t xml:space="preserve">The placement of EME2 </w:t>
      </w:r>
      <w:r w:rsidRPr="000F6E49">
        <w:rPr>
          <w:rFonts w:cs="Arial"/>
          <w:b/>
          <w:bCs/>
        </w:rPr>
        <w:t>shall not commence until approval is obtained from the Superintendent.</w:t>
      </w:r>
    </w:p>
    <w:p w14:paraId="2A010E38" w14:textId="4E27BDF0" w:rsidR="000F120F" w:rsidRPr="000F6E49" w:rsidRDefault="000F120F" w:rsidP="00CA4068">
      <w:pPr>
        <w:rPr>
          <w:rFonts w:cs="Arial"/>
        </w:rPr>
      </w:pPr>
    </w:p>
    <w:p w14:paraId="65AE6E7C" w14:textId="36C95E65" w:rsidR="0090063F" w:rsidRPr="00F107C1" w:rsidRDefault="0090063F" w:rsidP="00CA4068">
      <w:pPr>
        <w:rPr>
          <w:rFonts w:cs="Arial"/>
          <w:b/>
          <w:bCs/>
        </w:rPr>
      </w:pPr>
    </w:p>
    <w:p w14:paraId="6637218E" w14:textId="19B57347" w:rsidR="0090063F" w:rsidRPr="00F107C1" w:rsidRDefault="0090063F" w:rsidP="00CA4068">
      <w:pPr>
        <w:rPr>
          <w:rFonts w:cs="Arial"/>
          <w:b/>
          <w:bCs/>
        </w:rPr>
      </w:pPr>
      <w:r w:rsidRPr="00F107C1">
        <w:rPr>
          <w:rFonts w:cs="Arial"/>
          <w:b/>
          <w:bCs/>
        </w:rPr>
        <w:t>418.</w:t>
      </w:r>
      <w:r w:rsidR="008B6E66" w:rsidRPr="000F6E49">
        <w:rPr>
          <w:rFonts w:cs="Arial"/>
          <w:b/>
          <w:bCs/>
        </w:rPr>
        <w:t>12</w:t>
      </w:r>
      <w:r w:rsidRPr="00F107C1">
        <w:rPr>
          <w:rFonts w:cs="Arial"/>
          <w:b/>
          <w:bCs/>
        </w:rPr>
        <w:tab/>
      </w:r>
      <w:r w:rsidRPr="000F6E49">
        <w:rPr>
          <w:rFonts w:cs="Arial"/>
          <w:b/>
          <w:bCs/>
        </w:rPr>
        <w:t xml:space="preserve">LAYER THICKNESS </w:t>
      </w:r>
      <w:r w:rsidR="000E3D41">
        <w:rPr>
          <w:rFonts w:cs="Arial"/>
          <w:b/>
          <w:bCs/>
        </w:rPr>
        <w:t xml:space="preserve">AND </w:t>
      </w:r>
      <w:r w:rsidRPr="000F6E49">
        <w:rPr>
          <w:rFonts w:cs="Arial"/>
          <w:b/>
          <w:bCs/>
        </w:rPr>
        <w:t>TRAFFICKING</w:t>
      </w:r>
    </w:p>
    <w:p w14:paraId="0D284C7E" w14:textId="30C8A08E" w:rsidR="0090063F" w:rsidRPr="000F6E49" w:rsidRDefault="0090063F" w:rsidP="00CA4068">
      <w:pPr>
        <w:rPr>
          <w:rFonts w:cs="Arial"/>
        </w:rPr>
      </w:pPr>
    </w:p>
    <w:p w14:paraId="25AEF053" w14:textId="51E1E722" w:rsidR="0090063F" w:rsidRPr="000F6E49" w:rsidRDefault="0090063F" w:rsidP="00CA4068">
      <w:pPr>
        <w:rPr>
          <w:rFonts w:cs="Arial"/>
        </w:rPr>
      </w:pPr>
      <w:r w:rsidRPr="000F6E49">
        <w:rPr>
          <w:rFonts w:cs="Arial"/>
        </w:rPr>
        <w:t>EME2 shall be placed in layers between 70</w:t>
      </w:r>
      <w:r w:rsidR="005B2BE0">
        <w:rPr>
          <w:rFonts w:cs="Arial"/>
        </w:rPr>
        <w:t xml:space="preserve"> </w:t>
      </w:r>
      <w:r w:rsidRPr="000F6E49">
        <w:rPr>
          <w:rFonts w:cs="Arial"/>
        </w:rPr>
        <w:t>mm and 130</w:t>
      </w:r>
      <w:r w:rsidR="005B2BE0">
        <w:rPr>
          <w:rFonts w:cs="Arial"/>
        </w:rPr>
        <w:t xml:space="preserve"> </w:t>
      </w:r>
      <w:r w:rsidRPr="000F6E49">
        <w:rPr>
          <w:rFonts w:cs="Arial"/>
        </w:rPr>
        <w:t xml:space="preserve">mm in thickness.  </w:t>
      </w:r>
    </w:p>
    <w:p w14:paraId="0789C356" w14:textId="77777777" w:rsidR="0090063F" w:rsidRPr="000F6E49" w:rsidRDefault="0090063F" w:rsidP="00CA4068">
      <w:pPr>
        <w:rPr>
          <w:rFonts w:cs="Arial"/>
        </w:rPr>
      </w:pPr>
    </w:p>
    <w:p w14:paraId="3E52093E" w14:textId="421B0856" w:rsidR="0090063F" w:rsidRPr="000F6E49" w:rsidRDefault="0090063F" w:rsidP="00CA4068">
      <w:pPr>
        <w:rPr>
          <w:rFonts w:cs="Arial"/>
        </w:rPr>
      </w:pPr>
      <w:r w:rsidRPr="000F6E49">
        <w:rPr>
          <w:rFonts w:cs="Arial"/>
        </w:rPr>
        <w:t xml:space="preserve">The </w:t>
      </w:r>
      <w:r w:rsidR="009E5DB5">
        <w:rPr>
          <w:rFonts w:cs="Arial"/>
        </w:rPr>
        <w:t>C</w:t>
      </w:r>
      <w:r w:rsidR="009E5DB5" w:rsidRPr="000F6E49">
        <w:rPr>
          <w:rFonts w:cs="Arial"/>
        </w:rPr>
        <w:t xml:space="preserve">ontractor </w:t>
      </w:r>
      <w:r w:rsidRPr="000F6E49">
        <w:rPr>
          <w:rFonts w:cs="Arial"/>
        </w:rPr>
        <w:t>shall nominate the maximum surface temperature that the layer can be trafficked</w:t>
      </w:r>
      <w:r w:rsidR="00F7096D" w:rsidRPr="000F6E49">
        <w:rPr>
          <w:rFonts w:cs="Arial"/>
        </w:rPr>
        <w:t xml:space="preserve"> </w:t>
      </w:r>
      <w:r w:rsidR="00244B03" w:rsidRPr="000F6E49">
        <w:rPr>
          <w:rFonts w:cs="Arial"/>
        </w:rPr>
        <w:t>without deformation</w:t>
      </w:r>
      <w:r w:rsidRPr="000F6E49">
        <w:rPr>
          <w:rFonts w:cs="Arial"/>
        </w:rPr>
        <w:t>.</w:t>
      </w:r>
    </w:p>
    <w:p w14:paraId="34034037" w14:textId="77777777" w:rsidR="00F7096D" w:rsidRPr="000F6E49" w:rsidRDefault="00F7096D" w:rsidP="00CA4068">
      <w:pPr>
        <w:rPr>
          <w:rFonts w:cs="Arial"/>
        </w:rPr>
      </w:pPr>
    </w:p>
    <w:p w14:paraId="058B33BE" w14:textId="10D99808" w:rsidR="00DE6342" w:rsidRPr="000F6E49" w:rsidRDefault="00537AF7" w:rsidP="00537AF7">
      <w:pPr>
        <w:tabs>
          <w:tab w:val="left" w:pos="8655"/>
        </w:tabs>
        <w:rPr>
          <w:rFonts w:cs="Arial"/>
        </w:rPr>
      </w:pPr>
      <w:r>
        <w:rPr>
          <w:rFonts w:cs="Arial"/>
        </w:rPr>
        <w:tab/>
      </w:r>
    </w:p>
    <w:p w14:paraId="484CB8BE" w14:textId="12F791E8" w:rsidR="000F120F" w:rsidRPr="000F6E49" w:rsidRDefault="000F120F" w:rsidP="00CA4068">
      <w:pPr>
        <w:pStyle w:val="Heading3SS"/>
      </w:pPr>
      <w:r w:rsidRPr="000F6E49">
        <w:t>418.</w:t>
      </w:r>
      <w:r w:rsidR="008B6E66" w:rsidRPr="000F6E49">
        <w:t>13</w:t>
      </w:r>
      <w:r w:rsidRPr="000F6E49">
        <w:tab/>
        <w:t>REQUIREMENTS FOR TESTING AND ACCEPTANCE OF COMPACTION</w:t>
      </w:r>
    </w:p>
    <w:p w14:paraId="42583E1F" w14:textId="2DF1A7B6" w:rsidR="000F120F" w:rsidRPr="000F6E49" w:rsidRDefault="000F120F" w:rsidP="007F0B3F">
      <w:pPr>
        <w:spacing w:before="200"/>
        <w:rPr>
          <w:rFonts w:cs="Arial"/>
        </w:rPr>
      </w:pPr>
      <w:r w:rsidRPr="000F6E49">
        <w:rPr>
          <w:rFonts w:cs="Arial"/>
        </w:rPr>
        <w:t xml:space="preserve">After placement, the EME2 shall be immediately compacted to meet the requirements for testing and acceptance of compaction as detailed in </w:t>
      </w:r>
      <w:r w:rsidR="00B2387C">
        <w:rPr>
          <w:rFonts w:cs="Arial"/>
        </w:rPr>
        <w:t>C</w:t>
      </w:r>
      <w:r w:rsidR="00D906CA" w:rsidRPr="000F6E49">
        <w:rPr>
          <w:rFonts w:cs="Arial"/>
        </w:rPr>
        <w:t>lause</w:t>
      </w:r>
      <w:r w:rsidRPr="000F6E49">
        <w:rPr>
          <w:rFonts w:cs="Arial"/>
        </w:rPr>
        <w:t> 407.2</w:t>
      </w:r>
      <w:r w:rsidR="006B57CD" w:rsidRPr="000F6E49">
        <w:rPr>
          <w:rFonts w:cs="Arial"/>
        </w:rPr>
        <w:t>7</w:t>
      </w:r>
      <w:r w:rsidRPr="000F6E49">
        <w:rPr>
          <w:rFonts w:cs="Arial"/>
        </w:rPr>
        <w:t>, except:</w:t>
      </w:r>
    </w:p>
    <w:p w14:paraId="4E53F0B8" w14:textId="7818B770" w:rsidR="000F120F" w:rsidRPr="000F6E49" w:rsidRDefault="007F0B3F" w:rsidP="007F0B3F">
      <w:pPr>
        <w:tabs>
          <w:tab w:val="left" w:pos="454"/>
        </w:tabs>
        <w:spacing w:before="160"/>
        <w:ind w:left="454" w:hanging="454"/>
        <w:rPr>
          <w:rFonts w:cs="Arial"/>
        </w:rPr>
      </w:pPr>
      <w:r w:rsidRPr="000F6E49">
        <w:rPr>
          <w:rFonts w:cs="Arial"/>
        </w:rPr>
        <w:t>(a)</w:t>
      </w:r>
      <w:r w:rsidRPr="000F6E49">
        <w:rPr>
          <w:rFonts w:cs="Arial"/>
        </w:rPr>
        <w:tab/>
      </w:r>
      <w:r w:rsidR="000F120F" w:rsidRPr="000F6E49">
        <w:rPr>
          <w:rFonts w:cs="Arial"/>
        </w:rPr>
        <w:t xml:space="preserve">work shall be tested for density on a </w:t>
      </w:r>
      <w:proofErr w:type="gramStart"/>
      <w:r w:rsidR="000F120F" w:rsidRPr="000F6E49">
        <w:rPr>
          <w:rFonts w:cs="Arial"/>
        </w:rPr>
        <w:t>lot</w:t>
      </w:r>
      <w:proofErr w:type="gramEnd"/>
      <w:r w:rsidR="000F120F" w:rsidRPr="000F6E49">
        <w:rPr>
          <w:rFonts w:cs="Arial"/>
        </w:rPr>
        <w:t xml:space="preserve"> basis regardless of the quantity of material placed</w:t>
      </w:r>
      <w:r w:rsidR="00E503A6" w:rsidRPr="000F6E49">
        <w:rPr>
          <w:rFonts w:cs="Arial"/>
        </w:rPr>
        <w:t xml:space="preserve"> with the maximum lot size being 4000</w:t>
      </w:r>
      <w:r w:rsidR="000E3D41">
        <w:rPr>
          <w:rFonts w:cs="Arial"/>
        </w:rPr>
        <w:t xml:space="preserve"> </w:t>
      </w:r>
      <w:r w:rsidR="00E503A6" w:rsidRPr="000F6E49">
        <w:rPr>
          <w:rFonts w:cs="Arial"/>
        </w:rPr>
        <w:t>m</w:t>
      </w:r>
      <w:r w:rsidR="00E503A6" w:rsidRPr="00F107C1">
        <w:rPr>
          <w:rFonts w:cs="Arial"/>
          <w:vertAlign w:val="superscript"/>
        </w:rPr>
        <w:t>2</w:t>
      </w:r>
    </w:p>
    <w:p w14:paraId="0546AB4C" w14:textId="554C8388" w:rsidR="000F120F" w:rsidRPr="000F6E49" w:rsidRDefault="007F0B3F" w:rsidP="007F0B3F">
      <w:pPr>
        <w:tabs>
          <w:tab w:val="left" w:pos="454"/>
        </w:tabs>
        <w:spacing w:before="160"/>
        <w:ind w:left="454" w:hanging="454"/>
        <w:rPr>
          <w:rFonts w:cs="Arial"/>
        </w:rPr>
      </w:pPr>
      <w:r w:rsidRPr="000F6E49">
        <w:rPr>
          <w:rFonts w:cs="Arial"/>
        </w:rPr>
        <w:t>(b)</w:t>
      </w:r>
      <w:r w:rsidRPr="000F6E49">
        <w:rPr>
          <w:rFonts w:cs="Arial"/>
        </w:rPr>
        <w:tab/>
      </w:r>
      <w:r w:rsidR="00BA34C8" w:rsidRPr="000F6E49">
        <w:rPr>
          <w:rFonts w:cs="Arial"/>
        </w:rPr>
        <w:t xml:space="preserve">each lot </w:t>
      </w:r>
      <w:r w:rsidR="00E503A6" w:rsidRPr="000F6E49">
        <w:rPr>
          <w:rFonts w:cs="Arial"/>
        </w:rPr>
        <w:t xml:space="preserve">shall be </w:t>
      </w:r>
      <w:r w:rsidR="000F120F" w:rsidRPr="000F6E49">
        <w:rPr>
          <w:rFonts w:cs="Arial"/>
        </w:rPr>
        <w:t xml:space="preserve">represented by </w:t>
      </w:r>
      <w:r w:rsidR="00BA34C8" w:rsidRPr="000F6E49">
        <w:rPr>
          <w:rFonts w:cs="Arial"/>
        </w:rPr>
        <w:t xml:space="preserve">a set of </w:t>
      </w:r>
      <w:r w:rsidR="000F120F" w:rsidRPr="000F6E49">
        <w:rPr>
          <w:rFonts w:cs="Arial"/>
        </w:rPr>
        <w:t>six test sites</w:t>
      </w:r>
      <w:r w:rsidR="00E503A6" w:rsidRPr="000F6E49">
        <w:rPr>
          <w:rFonts w:cs="Arial"/>
        </w:rPr>
        <w:t xml:space="preserve"> which</w:t>
      </w:r>
      <w:r w:rsidR="000F120F" w:rsidRPr="000F6E49">
        <w:rPr>
          <w:rFonts w:cs="Arial"/>
        </w:rPr>
        <w:t xml:space="preserve"> shall be assessed in accordance with Table 418.1</w:t>
      </w:r>
      <w:r w:rsidR="00D7652B" w:rsidRPr="000F6E49">
        <w:rPr>
          <w:rFonts w:cs="Arial"/>
        </w:rPr>
        <w:t>3</w:t>
      </w:r>
      <w:r w:rsidR="000F120F" w:rsidRPr="000F6E49">
        <w:rPr>
          <w:rFonts w:cs="Arial"/>
        </w:rPr>
        <w:t>1</w:t>
      </w:r>
    </w:p>
    <w:p w14:paraId="4EACB344" w14:textId="44AD384E" w:rsidR="00786FA6" w:rsidRPr="000F6E49" w:rsidRDefault="00E503A6" w:rsidP="00F107C1">
      <w:pPr>
        <w:tabs>
          <w:tab w:val="left" w:pos="454"/>
        </w:tabs>
        <w:spacing w:before="160"/>
        <w:rPr>
          <w:rFonts w:cs="Arial"/>
        </w:rPr>
      </w:pPr>
      <w:r w:rsidRPr="000F6E49">
        <w:rPr>
          <w:rFonts w:cs="Arial"/>
        </w:rPr>
        <w:t>(c)</w:t>
      </w:r>
      <w:r w:rsidRPr="000F6E49">
        <w:rPr>
          <w:rFonts w:cs="Arial"/>
        </w:rPr>
        <w:tab/>
      </w:r>
      <w:r w:rsidR="00786FA6" w:rsidRPr="000F6E49">
        <w:rPr>
          <w:rFonts w:cs="Arial"/>
        </w:rPr>
        <w:t>Air voids</w:t>
      </w:r>
      <w:r w:rsidRPr="000F6E49">
        <w:rPr>
          <w:rFonts w:cs="Arial"/>
        </w:rPr>
        <w:t xml:space="preserve"> shall be calculated in accordance with </w:t>
      </w:r>
      <w:r w:rsidR="00B2387C">
        <w:rPr>
          <w:rFonts w:cs="Arial"/>
        </w:rPr>
        <w:t xml:space="preserve">Clause </w:t>
      </w:r>
      <w:r w:rsidRPr="000F6E49">
        <w:rPr>
          <w:rFonts w:cs="Arial"/>
        </w:rPr>
        <w:t>407.27(b), sub-section (v).</w:t>
      </w:r>
    </w:p>
    <w:p w14:paraId="40CFEA96" w14:textId="77777777" w:rsidR="00B2387C" w:rsidRPr="000F6E49" w:rsidRDefault="00B2387C" w:rsidP="00F7096D">
      <w:pPr>
        <w:tabs>
          <w:tab w:val="left" w:pos="454"/>
        </w:tabs>
        <w:spacing w:before="160"/>
        <w:ind w:left="454" w:hanging="454"/>
        <w:rPr>
          <w:rFonts w:cs="Arial"/>
          <w:b/>
          <w:bCs/>
        </w:rPr>
      </w:pPr>
    </w:p>
    <w:p w14:paraId="31570610" w14:textId="01FD32C4" w:rsidR="00786FA6" w:rsidRPr="000F6E49" w:rsidRDefault="00786FA6" w:rsidP="00F7096D">
      <w:pPr>
        <w:tabs>
          <w:tab w:val="left" w:pos="454"/>
        </w:tabs>
        <w:spacing w:before="160"/>
        <w:ind w:left="454" w:hanging="454"/>
        <w:rPr>
          <w:rFonts w:cs="Arial"/>
          <w:b/>
          <w:bCs/>
        </w:rPr>
      </w:pPr>
      <w:r w:rsidRPr="000F6E49">
        <w:rPr>
          <w:rFonts w:cs="Arial"/>
          <w:b/>
          <w:bCs/>
        </w:rPr>
        <w:t>Table 418.1</w:t>
      </w:r>
      <w:r w:rsidR="00C90EC3" w:rsidRPr="000F6E49">
        <w:rPr>
          <w:rFonts w:cs="Arial"/>
          <w:b/>
          <w:bCs/>
        </w:rPr>
        <w:t>3</w:t>
      </w:r>
      <w:r w:rsidRPr="000F6E49">
        <w:rPr>
          <w:rFonts w:cs="Arial"/>
          <w:b/>
          <w:bCs/>
        </w:rPr>
        <w:t>1 Limits for Characteristic Density (Six tests)</w:t>
      </w:r>
    </w:p>
    <w:tbl>
      <w:tblPr>
        <w:tblW w:w="0" w:type="auto"/>
        <w:tblInd w:w="510" w:type="dxa"/>
        <w:tblLayout w:type="fixed"/>
        <w:tblCellMar>
          <w:top w:w="57" w:type="dxa"/>
          <w:left w:w="57" w:type="dxa"/>
          <w:bottom w:w="28" w:type="dxa"/>
          <w:right w:w="57" w:type="dxa"/>
        </w:tblCellMar>
        <w:tblLook w:val="0000" w:firstRow="0" w:lastRow="0" w:firstColumn="0" w:lastColumn="0" w:noHBand="0" w:noVBand="0"/>
      </w:tblPr>
      <w:tblGrid>
        <w:gridCol w:w="2126"/>
        <w:gridCol w:w="6237"/>
      </w:tblGrid>
      <w:tr w:rsidR="006B57CD" w:rsidRPr="000F6E49" w14:paraId="47923D7E" w14:textId="77777777" w:rsidTr="007646C9">
        <w:trPr>
          <w:cantSplit/>
        </w:trPr>
        <w:tc>
          <w:tcPr>
            <w:tcW w:w="8363" w:type="dxa"/>
            <w:gridSpan w:val="2"/>
            <w:tcBorders>
              <w:top w:val="single" w:sz="12" w:space="0" w:color="auto"/>
              <w:left w:val="single" w:sz="12" w:space="0" w:color="auto"/>
              <w:bottom w:val="single" w:sz="8" w:space="0" w:color="auto"/>
              <w:right w:val="single" w:sz="12" w:space="0" w:color="auto"/>
            </w:tcBorders>
            <w:vAlign w:val="bottom"/>
          </w:tcPr>
          <w:p w14:paraId="7A91D480" w14:textId="66A65A02" w:rsidR="006B57CD" w:rsidRPr="000F6E49" w:rsidRDefault="00E503A6" w:rsidP="007646C9">
            <w:pPr>
              <w:jc w:val="center"/>
              <w:rPr>
                <w:rFonts w:cs="Arial"/>
                <w:b/>
                <w:spacing w:val="-6"/>
              </w:rPr>
            </w:pPr>
            <w:r w:rsidRPr="000F6E49">
              <w:rPr>
                <w:rFonts w:cs="Arial"/>
                <w:b/>
                <w:spacing w:val="-6"/>
              </w:rPr>
              <w:t>Characteristic Value of In-situ Air Voids (%)</w:t>
            </w:r>
          </w:p>
        </w:tc>
      </w:tr>
      <w:tr w:rsidR="00E503A6" w:rsidRPr="000F6E49" w14:paraId="2F5B94FE" w14:textId="77777777" w:rsidTr="00F13DBF">
        <w:trPr>
          <w:cantSplit/>
        </w:trPr>
        <w:tc>
          <w:tcPr>
            <w:tcW w:w="2126" w:type="dxa"/>
            <w:tcBorders>
              <w:top w:val="single" w:sz="8" w:space="0" w:color="auto"/>
              <w:left w:val="single" w:sz="12" w:space="0" w:color="auto"/>
              <w:bottom w:val="single" w:sz="12" w:space="0" w:color="auto"/>
              <w:right w:val="single" w:sz="8" w:space="0" w:color="auto"/>
            </w:tcBorders>
            <w:vAlign w:val="bottom"/>
          </w:tcPr>
          <w:p w14:paraId="56F7B054" w14:textId="26051937" w:rsidR="00E503A6" w:rsidRPr="000F6E49" w:rsidRDefault="00E503A6" w:rsidP="00786FA6">
            <w:pPr>
              <w:jc w:val="center"/>
              <w:rPr>
                <w:rFonts w:cs="Arial"/>
                <w:b/>
                <w:spacing w:val="-6"/>
              </w:rPr>
            </w:pPr>
            <w:r w:rsidRPr="000F6E49">
              <w:rPr>
                <w:rFonts w:cs="Arial"/>
                <w:b/>
                <w:spacing w:val="-6"/>
              </w:rPr>
              <w:t>Location</w:t>
            </w:r>
          </w:p>
        </w:tc>
        <w:tc>
          <w:tcPr>
            <w:tcW w:w="6237" w:type="dxa"/>
            <w:tcBorders>
              <w:top w:val="single" w:sz="8" w:space="0" w:color="auto"/>
              <w:left w:val="single" w:sz="8" w:space="0" w:color="auto"/>
              <w:bottom w:val="single" w:sz="12" w:space="0" w:color="auto"/>
              <w:right w:val="single" w:sz="12" w:space="0" w:color="auto"/>
            </w:tcBorders>
            <w:vAlign w:val="center"/>
          </w:tcPr>
          <w:p w14:paraId="77346034" w14:textId="4A25CBFC" w:rsidR="00E503A6" w:rsidRPr="000F6E49" w:rsidRDefault="00E503A6" w:rsidP="007646C9">
            <w:pPr>
              <w:jc w:val="center"/>
              <w:rPr>
                <w:rFonts w:cs="Arial"/>
                <w:b/>
                <w:spacing w:val="-6"/>
              </w:rPr>
            </w:pPr>
            <w:r w:rsidRPr="000F6E49">
              <w:rPr>
                <w:rFonts w:cs="Arial"/>
                <w:b/>
                <w:spacing w:val="-6"/>
              </w:rPr>
              <w:t>Upper Limit (Vu)</w:t>
            </w:r>
          </w:p>
        </w:tc>
      </w:tr>
      <w:tr w:rsidR="00E503A6" w:rsidRPr="000F6E49" w14:paraId="3879E741" w14:textId="77777777" w:rsidTr="00A21873">
        <w:trPr>
          <w:cantSplit/>
        </w:trPr>
        <w:tc>
          <w:tcPr>
            <w:tcW w:w="2126" w:type="dxa"/>
            <w:tcBorders>
              <w:top w:val="single" w:sz="12" w:space="0" w:color="auto"/>
              <w:left w:val="single" w:sz="12" w:space="0" w:color="auto"/>
              <w:bottom w:val="single" w:sz="6" w:space="0" w:color="FFFFFF"/>
              <w:right w:val="single" w:sz="8" w:space="0" w:color="auto"/>
            </w:tcBorders>
          </w:tcPr>
          <w:p w14:paraId="676F8F8A" w14:textId="5118DF33" w:rsidR="00E503A6" w:rsidRPr="000F6E49" w:rsidRDefault="00E503A6" w:rsidP="00F107C1">
            <w:pPr>
              <w:jc w:val="center"/>
              <w:rPr>
                <w:rFonts w:cs="Arial"/>
              </w:rPr>
            </w:pPr>
            <w:r w:rsidRPr="000F6E49">
              <w:rPr>
                <w:rFonts w:cs="Arial"/>
              </w:rPr>
              <w:t>Matt</w:t>
            </w:r>
          </w:p>
        </w:tc>
        <w:tc>
          <w:tcPr>
            <w:tcW w:w="6237" w:type="dxa"/>
            <w:tcBorders>
              <w:left w:val="single" w:sz="8" w:space="0" w:color="auto"/>
              <w:right w:val="single" w:sz="12" w:space="0" w:color="auto"/>
            </w:tcBorders>
          </w:tcPr>
          <w:p w14:paraId="3DE294F9" w14:textId="1F3183B0" w:rsidR="00E503A6" w:rsidRPr="000F6E49" w:rsidRDefault="00E503A6" w:rsidP="00F107C1">
            <w:pPr>
              <w:jc w:val="center"/>
              <w:rPr>
                <w:rFonts w:cs="Arial"/>
              </w:rPr>
            </w:pPr>
            <w:r w:rsidRPr="000F6E49">
              <w:rPr>
                <w:rFonts w:cs="Arial"/>
              </w:rPr>
              <w:t>5.5</w:t>
            </w:r>
          </w:p>
        </w:tc>
      </w:tr>
      <w:tr w:rsidR="00E503A6" w:rsidRPr="000F6E49" w14:paraId="7558D006" w14:textId="77777777" w:rsidTr="00F107C1">
        <w:trPr>
          <w:cantSplit/>
        </w:trPr>
        <w:tc>
          <w:tcPr>
            <w:tcW w:w="2126" w:type="dxa"/>
            <w:tcBorders>
              <w:top w:val="single" w:sz="6" w:space="0" w:color="FFFFFF"/>
              <w:left w:val="single" w:sz="12" w:space="0" w:color="auto"/>
              <w:bottom w:val="single" w:sz="12" w:space="0" w:color="auto"/>
              <w:right w:val="single" w:sz="8" w:space="0" w:color="auto"/>
            </w:tcBorders>
          </w:tcPr>
          <w:p w14:paraId="37A97770" w14:textId="43AB83A1" w:rsidR="00E503A6" w:rsidRPr="00982F55" w:rsidRDefault="00E503A6" w:rsidP="00F107C1">
            <w:pPr>
              <w:jc w:val="center"/>
              <w:rPr>
                <w:rFonts w:cs="Arial"/>
              </w:rPr>
            </w:pPr>
            <w:r w:rsidRPr="00982F55">
              <w:rPr>
                <w:rFonts w:cs="Arial"/>
              </w:rPr>
              <w:t>Joints</w:t>
            </w:r>
          </w:p>
        </w:tc>
        <w:tc>
          <w:tcPr>
            <w:tcW w:w="6237" w:type="dxa"/>
            <w:tcBorders>
              <w:left w:val="single" w:sz="8" w:space="0" w:color="auto"/>
              <w:bottom w:val="single" w:sz="12" w:space="0" w:color="auto"/>
              <w:right w:val="single" w:sz="12" w:space="0" w:color="auto"/>
            </w:tcBorders>
          </w:tcPr>
          <w:p w14:paraId="7B57E0D2" w14:textId="00374865" w:rsidR="00E503A6" w:rsidRPr="00982F55" w:rsidRDefault="00E503A6" w:rsidP="00F107C1">
            <w:pPr>
              <w:jc w:val="center"/>
              <w:rPr>
                <w:rFonts w:cs="Arial"/>
              </w:rPr>
            </w:pPr>
            <w:r w:rsidRPr="00982F55">
              <w:rPr>
                <w:rFonts w:cs="Arial"/>
              </w:rPr>
              <w:t>8.5</w:t>
            </w:r>
          </w:p>
        </w:tc>
      </w:tr>
    </w:tbl>
    <w:p w14:paraId="36BF43EB" w14:textId="66EF003F" w:rsidR="000F120F" w:rsidRPr="00536A4A" w:rsidRDefault="000F120F" w:rsidP="007C7DE2">
      <w:pPr>
        <w:spacing w:before="200" w:after="60"/>
        <w:rPr>
          <w:rFonts w:cs="Arial"/>
        </w:rPr>
      </w:pPr>
    </w:p>
    <w:sectPr w:rsidR="000F120F" w:rsidRPr="00536A4A" w:rsidSect="003230E9">
      <w:headerReference w:type="default" r:id="rId9"/>
      <w:footerReference w:type="default" r:id="rId10"/>
      <w:endnotePr>
        <w:numFmt w:val="decimal"/>
      </w:endnotePr>
      <w:pgSz w:w="11906" w:h="16838" w:code="9"/>
      <w:pgMar w:top="431" w:right="1134" w:bottom="431" w:left="1134" w:header="431"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F0FA5" w14:textId="77777777" w:rsidR="00E5775F" w:rsidRDefault="00E5775F">
      <w:r>
        <w:separator/>
      </w:r>
    </w:p>
  </w:endnote>
  <w:endnote w:type="continuationSeparator" w:id="0">
    <w:p w14:paraId="13F68A70" w14:textId="77777777" w:rsidR="00E5775F" w:rsidRDefault="00E57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W1)">
    <w:altName w:val="Times New Roman"/>
    <w:charset w:val="00"/>
    <w:family w:val="roman"/>
    <w:pitch w:val="variable"/>
    <w:sig w:usb0="00000000"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DA698" w14:textId="067CE74C" w:rsidR="00653504" w:rsidRDefault="00653504" w:rsidP="007F0749">
    <w:pPr>
      <w:pBdr>
        <w:top w:val="single" w:sz="6" w:space="0" w:color="000000"/>
      </w:pBdr>
      <w:jc w:val="right"/>
    </w:pPr>
    <w:r>
      <w:rPr>
        <w:b/>
      </w:rPr>
      <w:t>©</w:t>
    </w:r>
    <w:r>
      <w:t xml:space="preserve"> Department of Transport and Planning </w:t>
    </w:r>
    <w:r w:rsidR="00293081">
      <w:t xml:space="preserve">  </w:t>
    </w:r>
    <w:r w:rsidR="003230E9">
      <w:t xml:space="preserve">November </w:t>
    </w:r>
    <w:r>
      <w:t>2023</w:t>
    </w:r>
  </w:p>
  <w:p w14:paraId="10B5545C" w14:textId="53503C01" w:rsidR="00653504" w:rsidRDefault="00653504" w:rsidP="00F107C1">
    <w:pPr>
      <w:pStyle w:val="Footer"/>
      <w:jc w:val="right"/>
      <w:rPr>
        <w:caps/>
        <w:color w:val="4472C4" w:themeColor="accent1"/>
      </w:rPr>
    </w:pPr>
    <w:r>
      <w:t xml:space="preserve">Section 418 (Page </w:t>
    </w:r>
    <w:r w:rsidRPr="00653504">
      <w:fldChar w:fldCharType="begin"/>
    </w:r>
    <w:r w:rsidRPr="00653504">
      <w:instrText>PAGE   \* MERGEFORMAT</w:instrText>
    </w:r>
    <w:r w:rsidRPr="00653504">
      <w:fldChar w:fldCharType="separate"/>
    </w:r>
    <w:r w:rsidRPr="00653504">
      <w:t>1</w:t>
    </w:r>
    <w:r w:rsidRPr="00653504">
      <w:fldChar w:fldCharType="end"/>
    </w:r>
    <w:r>
      <w:t xml:space="preserve"> of </w:t>
    </w:r>
    <w:r w:rsidR="0085282A">
      <w:t>6</w:t>
    </w:r>
    <w:r w:rsidR="00E9621E">
      <w:t>)</w:t>
    </w:r>
  </w:p>
  <w:p w14:paraId="15526905" w14:textId="77777777" w:rsidR="00653504" w:rsidRDefault="006535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84AF5" w14:textId="77777777" w:rsidR="00E5775F" w:rsidRDefault="00E5775F">
      <w:r>
        <w:separator/>
      </w:r>
    </w:p>
  </w:footnote>
  <w:footnote w:type="continuationSeparator" w:id="0">
    <w:p w14:paraId="3E0CB50A" w14:textId="77777777" w:rsidR="00E5775F" w:rsidRDefault="00E57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97C96" w14:textId="27A2FA82" w:rsidR="00EE390F" w:rsidRDefault="002D4671" w:rsidP="001E6187">
    <w:pPr>
      <w:pBdr>
        <w:bottom w:val="single" w:sz="8" w:space="1" w:color="auto"/>
      </w:pBdr>
      <w:jc w:val="right"/>
      <w:rPr>
        <w:lang w:val="en-AU"/>
      </w:rPr>
    </w:pPr>
    <w:r>
      <w:rPr>
        <w:lang w:val="en-AU"/>
      </w:rPr>
      <w:t>Department of Transport</w:t>
    </w:r>
    <w:r w:rsidR="008B6E66">
      <w:rPr>
        <w:lang w:val="en-AU"/>
      </w:rPr>
      <w:t xml:space="preserve"> and Planning</w:t>
    </w:r>
  </w:p>
  <w:p w14:paraId="1ACD424A" w14:textId="77777777" w:rsidR="00EE390F" w:rsidRDefault="00EE390F" w:rsidP="00E65F40">
    <w:pPr>
      <w:spacing w:line="160" w:lineRule="exact"/>
      <w:rPr>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47C6A"/>
    <w:multiLevelType w:val="hybridMultilevel"/>
    <w:tmpl w:val="EA3A66BA"/>
    <w:lvl w:ilvl="0" w:tplc="5D422752">
      <w:start w:val="1"/>
      <w:numFmt w:val="decimal"/>
      <w:lvlText w:val="(%1)"/>
      <w:lvlJc w:val="left"/>
      <w:pPr>
        <w:ind w:left="360" w:hanging="360"/>
      </w:pPr>
      <w:rPr>
        <w:rFonts w:hint="default"/>
        <w:b w:val="0"/>
        <w:bCs/>
        <w:sz w:val="18"/>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95D668C"/>
    <w:multiLevelType w:val="hybridMultilevel"/>
    <w:tmpl w:val="46C0AE68"/>
    <w:lvl w:ilvl="0" w:tplc="2C484CEC">
      <w:start w:val="1"/>
      <w:numFmt w:val="lowerLetter"/>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 w15:restartNumberingAfterBreak="0">
    <w:nsid w:val="0B061202"/>
    <w:multiLevelType w:val="hybridMultilevel"/>
    <w:tmpl w:val="2FC628D4"/>
    <w:lvl w:ilvl="0" w:tplc="AF2EE914">
      <w:start w:val="1"/>
      <w:numFmt w:val="lowerLetter"/>
      <w:lvlText w:val="(%1)"/>
      <w:lvlJc w:val="left"/>
      <w:pPr>
        <w:ind w:left="502" w:hanging="360"/>
      </w:pPr>
      <w:rPr>
        <w:rFonts w:ascii="Arial" w:hAnsi="Arial" w:cs="Arial"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3" w15:restartNumberingAfterBreak="0">
    <w:nsid w:val="0C7D593F"/>
    <w:multiLevelType w:val="hybridMultilevel"/>
    <w:tmpl w:val="157E0B4A"/>
    <w:lvl w:ilvl="0" w:tplc="0C09001B">
      <w:start w:val="1"/>
      <w:numFmt w:val="lowerRoman"/>
      <w:lvlText w:val="%1."/>
      <w:lvlJc w:val="right"/>
      <w:pPr>
        <w:ind w:left="2994" w:hanging="360"/>
      </w:pPr>
    </w:lvl>
    <w:lvl w:ilvl="1" w:tplc="0C090019" w:tentative="1">
      <w:start w:val="1"/>
      <w:numFmt w:val="lowerLetter"/>
      <w:lvlText w:val="%2."/>
      <w:lvlJc w:val="left"/>
      <w:pPr>
        <w:ind w:left="3714" w:hanging="360"/>
      </w:pPr>
    </w:lvl>
    <w:lvl w:ilvl="2" w:tplc="0C09001B" w:tentative="1">
      <w:start w:val="1"/>
      <w:numFmt w:val="lowerRoman"/>
      <w:lvlText w:val="%3."/>
      <w:lvlJc w:val="right"/>
      <w:pPr>
        <w:ind w:left="4434" w:hanging="180"/>
      </w:pPr>
    </w:lvl>
    <w:lvl w:ilvl="3" w:tplc="0C09000F" w:tentative="1">
      <w:start w:val="1"/>
      <w:numFmt w:val="decimal"/>
      <w:lvlText w:val="%4."/>
      <w:lvlJc w:val="left"/>
      <w:pPr>
        <w:ind w:left="5154" w:hanging="360"/>
      </w:pPr>
    </w:lvl>
    <w:lvl w:ilvl="4" w:tplc="0C090019" w:tentative="1">
      <w:start w:val="1"/>
      <w:numFmt w:val="lowerLetter"/>
      <w:lvlText w:val="%5."/>
      <w:lvlJc w:val="left"/>
      <w:pPr>
        <w:ind w:left="5874" w:hanging="360"/>
      </w:pPr>
    </w:lvl>
    <w:lvl w:ilvl="5" w:tplc="0C09001B" w:tentative="1">
      <w:start w:val="1"/>
      <w:numFmt w:val="lowerRoman"/>
      <w:lvlText w:val="%6."/>
      <w:lvlJc w:val="right"/>
      <w:pPr>
        <w:ind w:left="6594" w:hanging="180"/>
      </w:pPr>
    </w:lvl>
    <w:lvl w:ilvl="6" w:tplc="0C09000F" w:tentative="1">
      <w:start w:val="1"/>
      <w:numFmt w:val="decimal"/>
      <w:lvlText w:val="%7."/>
      <w:lvlJc w:val="left"/>
      <w:pPr>
        <w:ind w:left="7314" w:hanging="360"/>
      </w:pPr>
    </w:lvl>
    <w:lvl w:ilvl="7" w:tplc="0C090019" w:tentative="1">
      <w:start w:val="1"/>
      <w:numFmt w:val="lowerLetter"/>
      <w:lvlText w:val="%8."/>
      <w:lvlJc w:val="left"/>
      <w:pPr>
        <w:ind w:left="8034" w:hanging="360"/>
      </w:pPr>
    </w:lvl>
    <w:lvl w:ilvl="8" w:tplc="0C09001B" w:tentative="1">
      <w:start w:val="1"/>
      <w:numFmt w:val="lowerRoman"/>
      <w:lvlText w:val="%9."/>
      <w:lvlJc w:val="right"/>
      <w:pPr>
        <w:ind w:left="8754" w:hanging="180"/>
      </w:pPr>
    </w:lvl>
  </w:abstractNum>
  <w:abstractNum w:abstractNumId="4" w15:restartNumberingAfterBreak="0">
    <w:nsid w:val="0E5331B8"/>
    <w:multiLevelType w:val="multilevel"/>
    <w:tmpl w:val="0890C8E4"/>
    <w:lvl w:ilvl="0">
      <w:start w:val="1"/>
      <w:numFmt w:val="lowerRoman"/>
      <w:lvlText w:val="(%1)"/>
      <w:lvlJc w:val="left"/>
      <w:pPr>
        <w:tabs>
          <w:tab w:val="num" w:pos="1080"/>
        </w:tabs>
        <w:ind w:left="1080" w:hanging="360"/>
      </w:pPr>
      <w:rPr>
        <w:rFonts w:ascii="Verdana" w:eastAsia="Times New Roman" w:hAnsi="Verdana" w:cs="Times New Roman"/>
        <w:sz w:val="20"/>
      </w:rPr>
    </w:lvl>
    <w:lvl w:ilvl="1">
      <w:start w:val="1"/>
      <w:numFmt w:val="lowerRoman"/>
      <w:lvlText w:val="%2."/>
      <w:lvlJc w:val="left"/>
      <w:pPr>
        <w:tabs>
          <w:tab w:val="num" w:pos="1443"/>
        </w:tabs>
        <w:ind w:left="1443" w:hanging="363"/>
      </w:pPr>
      <w:rPr>
        <w:rFonts w:hint="default"/>
      </w:rPr>
    </w:lvl>
    <w:lvl w:ilvl="2">
      <w:start w:val="1"/>
      <w:numFmt w:val="bullet"/>
      <w:lvlText w:val=""/>
      <w:lvlJc w:val="left"/>
      <w:pPr>
        <w:tabs>
          <w:tab w:val="num" w:pos="1800"/>
        </w:tabs>
        <w:ind w:left="1800" w:hanging="357"/>
      </w:pPr>
      <w:rPr>
        <w:rFonts w:ascii="Symbol" w:hAnsi="Symbol" w:hint="default"/>
        <w:sz w:val="20"/>
      </w:rPr>
    </w:lvl>
    <w:lvl w:ilvl="3">
      <w:start w:val="1"/>
      <w:numFmt w:val="lowerRoman"/>
      <w:lvlText w:val="(%4)"/>
      <w:lvlJc w:val="left"/>
      <w:pPr>
        <w:tabs>
          <w:tab w:val="num" w:pos="3240"/>
        </w:tabs>
        <w:ind w:left="3240" w:hanging="360"/>
      </w:pPr>
      <w:rPr>
        <w:rFonts w:ascii="Verdana" w:eastAsia="Times New Roman" w:hAnsi="Verdana" w:cs="Times New Roman"/>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5" w15:restartNumberingAfterBreak="0">
    <w:nsid w:val="122A19C2"/>
    <w:multiLevelType w:val="hybridMultilevel"/>
    <w:tmpl w:val="81A4E76C"/>
    <w:lvl w:ilvl="0" w:tplc="24B238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32D4A23"/>
    <w:multiLevelType w:val="hybridMultilevel"/>
    <w:tmpl w:val="DFEE485E"/>
    <w:lvl w:ilvl="0" w:tplc="0C09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B373F61"/>
    <w:multiLevelType w:val="hybridMultilevel"/>
    <w:tmpl w:val="441086E2"/>
    <w:lvl w:ilvl="0" w:tplc="8BCA58B4">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F2B5F5C"/>
    <w:multiLevelType w:val="multilevel"/>
    <w:tmpl w:val="E19A7B74"/>
    <w:lvl w:ilvl="0">
      <w:start w:val="1"/>
      <w:numFmt w:val="lowerRoman"/>
      <w:lvlText w:val="%1."/>
      <w:lvlJc w:val="righ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 w15:restartNumberingAfterBreak="0">
    <w:nsid w:val="216C5F83"/>
    <w:multiLevelType w:val="multilevel"/>
    <w:tmpl w:val="068EC008"/>
    <w:lvl w:ilvl="0">
      <w:start w:val="1"/>
      <w:numFmt w:val="upperRoman"/>
      <w:lvlText w:val="%1."/>
      <w:lvlJc w:val="righ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15:restartNumberingAfterBreak="0">
    <w:nsid w:val="25542F9F"/>
    <w:multiLevelType w:val="multilevel"/>
    <w:tmpl w:val="83E2FBF8"/>
    <w:lvl w:ilvl="0">
      <w:start w:val="1"/>
      <w:numFmt w:val="lowerLetter"/>
      <w:lvlText w:val="%1)"/>
      <w:lvlJc w:val="left"/>
      <w:pPr>
        <w:tabs>
          <w:tab w:val="num" w:pos="720"/>
        </w:tabs>
        <w:ind w:left="720" w:hanging="360"/>
      </w:pPr>
      <w:rPr>
        <w:rFonts w:hint="default"/>
        <w:sz w:val="20"/>
      </w:rPr>
    </w:lvl>
    <w:lvl w:ilvl="1">
      <w:start w:val="1"/>
      <w:numFmt w:val="lowerRoman"/>
      <w:lvlText w:val="(%2)"/>
      <w:lvlJc w:val="left"/>
      <w:pPr>
        <w:tabs>
          <w:tab w:val="num" w:pos="1083"/>
        </w:tabs>
        <w:ind w:left="1083" w:hanging="363"/>
      </w:pPr>
      <w:rPr>
        <w:rFonts w:ascii="Verdana" w:eastAsia="Times New Roman" w:hAnsi="Verdana" w:cs="Times New Roman"/>
      </w:rPr>
    </w:lvl>
    <w:lvl w:ilvl="2">
      <w:start w:val="1"/>
      <w:numFmt w:val="bullet"/>
      <w:lvlText w:val=""/>
      <w:lvlJc w:val="left"/>
      <w:pPr>
        <w:tabs>
          <w:tab w:val="num" w:pos="1440"/>
        </w:tabs>
        <w:ind w:left="1440" w:hanging="357"/>
      </w:pPr>
      <w:rPr>
        <w:rFonts w:ascii="Symbol" w:hAnsi="Symbol" w:hint="default"/>
        <w:sz w:val="20"/>
      </w:rPr>
    </w:lvl>
    <w:lvl w:ilvl="3">
      <w:start w:val="1"/>
      <w:numFmt w:val="lowerRoman"/>
      <w:lvlText w:val="(%4)"/>
      <w:lvlJc w:val="left"/>
      <w:pPr>
        <w:tabs>
          <w:tab w:val="num" w:pos="2880"/>
        </w:tabs>
        <w:ind w:left="2880" w:hanging="360"/>
      </w:pPr>
      <w:rPr>
        <w:rFonts w:ascii="Verdana" w:eastAsia="Times New Roman" w:hAnsi="Verdana" w:cs="Times New Roman"/>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2A1A5A32"/>
    <w:multiLevelType w:val="hybridMultilevel"/>
    <w:tmpl w:val="28E09ADA"/>
    <w:lvl w:ilvl="0" w:tplc="F7D67364">
      <w:start w:val="1"/>
      <w:numFmt w:val="decimal"/>
      <w:lvlText w:val="%1."/>
      <w:lvlJc w:val="left"/>
      <w:pPr>
        <w:ind w:left="1380" w:hanging="360"/>
      </w:pPr>
      <w:rPr>
        <w:rFonts w:hint="default"/>
      </w:rPr>
    </w:lvl>
    <w:lvl w:ilvl="1" w:tplc="0C090019" w:tentative="1">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12" w15:restartNumberingAfterBreak="0">
    <w:nsid w:val="2C69026A"/>
    <w:multiLevelType w:val="hybridMultilevel"/>
    <w:tmpl w:val="0C7AF2F4"/>
    <w:lvl w:ilvl="0" w:tplc="A130479A">
      <w:start w:val="1"/>
      <w:numFmt w:val="lowerLetter"/>
      <w:lvlText w:val="(%1)"/>
      <w:lvlJc w:val="left"/>
      <w:pPr>
        <w:tabs>
          <w:tab w:val="num" w:pos="1500"/>
        </w:tabs>
        <w:ind w:left="1500" w:hanging="11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36227EDF"/>
    <w:multiLevelType w:val="multilevel"/>
    <w:tmpl w:val="0C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 w15:restartNumberingAfterBreak="0">
    <w:nsid w:val="401A71A4"/>
    <w:multiLevelType w:val="multilevel"/>
    <w:tmpl w:val="E5940182"/>
    <w:lvl w:ilvl="0">
      <w:start w:val="1"/>
      <w:numFmt w:val="none"/>
      <w:lvlText w:val="%1."/>
      <w:lvlJc w:val="left"/>
      <w:rPr>
        <w:rFonts w:ascii="Times New Roman" w:hAnsi="Times New Roman" w:hint="default"/>
        <w:b w:val="0"/>
        <w:i w:val="0"/>
        <w:caps w:val="0"/>
        <w:strike w:val="0"/>
        <w:dstrike w:val="0"/>
        <w:vanish w:val="0"/>
        <w:color w:val="auto"/>
        <w:spacing w:val="0"/>
        <w:w w:val="1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1"/>
      <w:lvlJc w:val="left"/>
      <w:pPr>
        <w:tabs>
          <w:tab w:val="num" w:pos="0"/>
        </w:tabs>
        <w:ind w:left="0" w:firstLine="0"/>
      </w:pPr>
      <w:rPr>
        <w:rFonts w:hint="default"/>
      </w:rPr>
    </w:lvl>
    <w:lvl w:ilvl="2">
      <w:start w:val="1"/>
      <w:numFmt w:val="decimal"/>
      <w:pStyle w:val="Heading3"/>
      <w:lvlText w:val="%1%3."/>
      <w:lvlJc w:val="left"/>
      <w:pPr>
        <w:tabs>
          <w:tab w:val="num" w:pos="567"/>
        </w:tabs>
        <w:ind w:left="0" w:firstLine="0"/>
      </w:pPr>
      <w:rPr>
        <w:rFonts w:hint="default"/>
      </w:rPr>
    </w:lvl>
    <w:lvl w:ilvl="3">
      <w:start w:val="1"/>
      <w:numFmt w:val="decimal"/>
      <w:pStyle w:val="Heading4"/>
      <w:lvlText w:val="%3.%4"/>
      <w:lvlJc w:val="left"/>
      <w:pPr>
        <w:tabs>
          <w:tab w:val="num" w:pos="567"/>
        </w:tabs>
        <w:ind w:left="567" w:hanging="567"/>
      </w:pPr>
      <w:rPr>
        <w:rFonts w:hint="default"/>
      </w:rPr>
    </w:lvl>
    <w:lvl w:ilvl="4">
      <w:start w:val="1"/>
      <w:numFmt w:val="lowerLetter"/>
      <w:pStyle w:val="Heading5"/>
      <w:lvlText w:val="(%5%1)"/>
      <w:lvlJc w:val="left"/>
      <w:rPr>
        <w:rFonts w:ascii="Times New (W1)" w:hAnsi="Times New (W1)" w:cs="Times New Roman" w:hint="default"/>
        <w:b w:val="0"/>
        <w:bCs w:val="0"/>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Restart w:val="4"/>
      <w:pStyle w:val="Heading6"/>
      <w:lvlText w:val="%1(%6)"/>
      <w:lvlJc w:val="left"/>
      <w:pPr>
        <w:tabs>
          <w:tab w:val="num" w:pos="1588"/>
        </w:tabs>
        <w:ind w:left="1588" w:hanging="567"/>
      </w:pPr>
      <w:rPr>
        <w:rFonts w:hint="default"/>
      </w:rPr>
    </w:lvl>
    <w:lvl w:ilvl="6">
      <w:start w:val="1"/>
      <w:numFmt w:val="lowerRoman"/>
      <w:lvlText w:val="%1(%7)"/>
      <w:lvlJc w:val="left"/>
      <w:pPr>
        <w:tabs>
          <w:tab w:val="num" w:pos="1588"/>
        </w:tabs>
        <w:ind w:left="1588" w:hanging="567"/>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abstractNum w:abstractNumId="15" w15:restartNumberingAfterBreak="0">
    <w:nsid w:val="46446C88"/>
    <w:multiLevelType w:val="hybridMultilevel"/>
    <w:tmpl w:val="BF303B74"/>
    <w:lvl w:ilvl="0" w:tplc="442E164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95E6E68"/>
    <w:multiLevelType w:val="hybridMultilevel"/>
    <w:tmpl w:val="F0EAFC2A"/>
    <w:lvl w:ilvl="0" w:tplc="5D422752">
      <w:start w:val="1"/>
      <w:numFmt w:val="decimal"/>
      <w:lvlText w:val="(%1)"/>
      <w:lvlJc w:val="left"/>
      <w:pPr>
        <w:ind w:left="786" w:hanging="360"/>
      </w:pPr>
      <w:rPr>
        <w:rFonts w:hint="default"/>
        <w:sz w:val="18"/>
        <w:szCs w:val="18"/>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7" w15:restartNumberingAfterBreak="0">
    <w:nsid w:val="4B73343D"/>
    <w:multiLevelType w:val="hybridMultilevel"/>
    <w:tmpl w:val="67DA9808"/>
    <w:lvl w:ilvl="0" w:tplc="C32E4FB8">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DD40215"/>
    <w:multiLevelType w:val="singleLevel"/>
    <w:tmpl w:val="2C484CEC"/>
    <w:lvl w:ilvl="0">
      <w:start w:val="1"/>
      <w:numFmt w:val="lowerLetter"/>
      <w:lvlText w:val="(%1)"/>
      <w:lvlJc w:val="left"/>
      <w:pPr>
        <w:tabs>
          <w:tab w:val="num" w:pos="1140"/>
        </w:tabs>
        <w:ind w:left="1140" w:hanging="1140"/>
      </w:pPr>
      <w:rPr>
        <w:rFonts w:hint="default"/>
      </w:rPr>
    </w:lvl>
  </w:abstractNum>
  <w:abstractNum w:abstractNumId="19" w15:restartNumberingAfterBreak="0">
    <w:nsid w:val="596257BF"/>
    <w:multiLevelType w:val="hybridMultilevel"/>
    <w:tmpl w:val="C70C9F16"/>
    <w:lvl w:ilvl="0" w:tplc="5900CB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D595C68"/>
    <w:multiLevelType w:val="hybridMultilevel"/>
    <w:tmpl w:val="B5FABA12"/>
    <w:lvl w:ilvl="0" w:tplc="A130479A">
      <w:start w:val="1"/>
      <w:numFmt w:val="lowerLetter"/>
      <w:lvlText w:val="(%1)"/>
      <w:lvlJc w:val="left"/>
      <w:pPr>
        <w:tabs>
          <w:tab w:val="num" w:pos="1500"/>
        </w:tabs>
        <w:ind w:left="1500" w:hanging="114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610B2FA5"/>
    <w:multiLevelType w:val="hybridMultilevel"/>
    <w:tmpl w:val="1CC62C3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9DF5E2E"/>
    <w:multiLevelType w:val="hybridMultilevel"/>
    <w:tmpl w:val="BBA2B612"/>
    <w:lvl w:ilvl="0" w:tplc="0C09001B">
      <w:start w:val="1"/>
      <w:numFmt w:val="lowerRoman"/>
      <w:lvlText w:val="%1."/>
      <w:lvlJc w:val="righ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3" w15:restartNumberingAfterBreak="0">
    <w:nsid w:val="6EB019F9"/>
    <w:multiLevelType w:val="hybridMultilevel"/>
    <w:tmpl w:val="C290B934"/>
    <w:lvl w:ilvl="0" w:tplc="962A654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77AA7EF3"/>
    <w:multiLevelType w:val="hybridMultilevel"/>
    <w:tmpl w:val="9AC0420E"/>
    <w:lvl w:ilvl="0" w:tplc="BD04B6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B6A6B57"/>
    <w:multiLevelType w:val="hybridMultilevel"/>
    <w:tmpl w:val="6F9C11D2"/>
    <w:lvl w:ilvl="0" w:tplc="28BABD1E">
      <w:start w:val="1"/>
      <w:numFmt w:val="decimal"/>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num w:numId="1" w16cid:durableId="2086296653">
    <w:abstractNumId w:val="18"/>
  </w:num>
  <w:num w:numId="2" w16cid:durableId="1575579798">
    <w:abstractNumId w:val="12"/>
  </w:num>
  <w:num w:numId="3" w16cid:durableId="1412970687">
    <w:abstractNumId w:val="20"/>
  </w:num>
  <w:num w:numId="4" w16cid:durableId="157035617">
    <w:abstractNumId w:val="21"/>
  </w:num>
  <w:num w:numId="5" w16cid:durableId="2021005699">
    <w:abstractNumId w:val="14"/>
  </w:num>
  <w:num w:numId="6" w16cid:durableId="1074353487">
    <w:abstractNumId w:val="14"/>
  </w:num>
  <w:num w:numId="7" w16cid:durableId="1125542803">
    <w:abstractNumId w:val="14"/>
  </w:num>
  <w:num w:numId="8" w16cid:durableId="2098205743">
    <w:abstractNumId w:val="14"/>
  </w:num>
  <w:num w:numId="9" w16cid:durableId="272975865">
    <w:abstractNumId w:val="19"/>
  </w:num>
  <w:num w:numId="10" w16cid:durableId="448857879">
    <w:abstractNumId w:val="11"/>
  </w:num>
  <w:num w:numId="11" w16cid:durableId="198590748">
    <w:abstractNumId w:val="25"/>
  </w:num>
  <w:num w:numId="12" w16cid:durableId="104080286">
    <w:abstractNumId w:val="23"/>
  </w:num>
  <w:num w:numId="13" w16cid:durableId="1940214557">
    <w:abstractNumId w:val="24"/>
  </w:num>
  <w:num w:numId="14" w16cid:durableId="427846818">
    <w:abstractNumId w:val="17"/>
  </w:num>
  <w:num w:numId="15" w16cid:durableId="110364522">
    <w:abstractNumId w:val="15"/>
  </w:num>
  <w:num w:numId="16" w16cid:durableId="1741517438">
    <w:abstractNumId w:val="10"/>
  </w:num>
  <w:num w:numId="17" w16cid:durableId="1327242563">
    <w:abstractNumId w:val="4"/>
  </w:num>
  <w:num w:numId="18" w16cid:durableId="1307010306">
    <w:abstractNumId w:val="7"/>
  </w:num>
  <w:num w:numId="19" w16cid:durableId="795294200">
    <w:abstractNumId w:val="0"/>
  </w:num>
  <w:num w:numId="20" w16cid:durableId="626813865">
    <w:abstractNumId w:val="5"/>
  </w:num>
  <w:num w:numId="21" w16cid:durableId="1574001146">
    <w:abstractNumId w:val="2"/>
  </w:num>
  <w:num w:numId="22" w16cid:durableId="803431451">
    <w:abstractNumId w:val="13"/>
  </w:num>
  <w:num w:numId="23" w16cid:durableId="1555460330">
    <w:abstractNumId w:val="9"/>
  </w:num>
  <w:num w:numId="24" w16cid:durableId="105734540">
    <w:abstractNumId w:val="8"/>
  </w:num>
  <w:num w:numId="25" w16cid:durableId="1155294645">
    <w:abstractNumId w:val="3"/>
  </w:num>
  <w:num w:numId="26" w16cid:durableId="1553155782">
    <w:abstractNumId w:val="22"/>
  </w:num>
  <w:num w:numId="27" w16cid:durableId="1562443852">
    <w:abstractNumId w:val="1"/>
  </w:num>
  <w:num w:numId="28" w16cid:durableId="1980113110">
    <w:abstractNumId w:val="6"/>
  </w:num>
  <w:num w:numId="29" w16cid:durableId="71299629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014"/>
    <w:rsid w:val="000049CE"/>
    <w:rsid w:val="000114EE"/>
    <w:rsid w:val="00025ABC"/>
    <w:rsid w:val="000261AF"/>
    <w:rsid w:val="00037EAD"/>
    <w:rsid w:val="00041D08"/>
    <w:rsid w:val="00044863"/>
    <w:rsid w:val="00047451"/>
    <w:rsid w:val="00055FCB"/>
    <w:rsid w:val="00061A39"/>
    <w:rsid w:val="00072069"/>
    <w:rsid w:val="00083BC1"/>
    <w:rsid w:val="00094F17"/>
    <w:rsid w:val="000A2829"/>
    <w:rsid w:val="000B6D3B"/>
    <w:rsid w:val="000B7439"/>
    <w:rsid w:val="000C60DD"/>
    <w:rsid w:val="000C62AB"/>
    <w:rsid w:val="000C74D4"/>
    <w:rsid w:val="000D669E"/>
    <w:rsid w:val="000E1334"/>
    <w:rsid w:val="000E365F"/>
    <w:rsid w:val="000E3D41"/>
    <w:rsid w:val="000F120F"/>
    <w:rsid w:val="000F5B99"/>
    <w:rsid w:val="000F6E49"/>
    <w:rsid w:val="00102C48"/>
    <w:rsid w:val="00116E93"/>
    <w:rsid w:val="001274D7"/>
    <w:rsid w:val="00127AAA"/>
    <w:rsid w:val="00154292"/>
    <w:rsid w:val="00160461"/>
    <w:rsid w:val="00162576"/>
    <w:rsid w:val="00164E17"/>
    <w:rsid w:val="00167176"/>
    <w:rsid w:val="00171E0D"/>
    <w:rsid w:val="00176487"/>
    <w:rsid w:val="00186762"/>
    <w:rsid w:val="00186D8A"/>
    <w:rsid w:val="001A0346"/>
    <w:rsid w:val="001A0669"/>
    <w:rsid w:val="001A0F12"/>
    <w:rsid w:val="001A0F31"/>
    <w:rsid w:val="001A1FB1"/>
    <w:rsid w:val="001C0588"/>
    <w:rsid w:val="001C10E1"/>
    <w:rsid w:val="001D33A0"/>
    <w:rsid w:val="001D4E8A"/>
    <w:rsid w:val="001D4F9A"/>
    <w:rsid w:val="001E5F5C"/>
    <w:rsid w:val="001E6187"/>
    <w:rsid w:val="001E6D86"/>
    <w:rsid w:val="001F4B44"/>
    <w:rsid w:val="00202743"/>
    <w:rsid w:val="00202EFB"/>
    <w:rsid w:val="002034CB"/>
    <w:rsid w:val="00204D41"/>
    <w:rsid w:val="00212E2A"/>
    <w:rsid w:val="00221944"/>
    <w:rsid w:val="00221B00"/>
    <w:rsid w:val="002322B9"/>
    <w:rsid w:val="00233C9F"/>
    <w:rsid w:val="0023646F"/>
    <w:rsid w:val="002403ED"/>
    <w:rsid w:val="00244B03"/>
    <w:rsid w:val="00250865"/>
    <w:rsid w:val="00251DF9"/>
    <w:rsid w:val="00252213"/>
    <w:rsid w:val="0025256F"/>
    <w:rsid w:val="00267E37"/>
    <w:rsid w:val="00270CF3"/>
    <w:rsid w:val="00280D77"/>
    <w:rsid w:val="00285582"/>
    <w:rsid w:val="00293081"/>
    <w:rsid w:val="00293C65"/>
    <w:rsid w:val="00295325"/>
    <w:rsid w:val="00296F28"/>
    <w:rsid w:val="002A018F"/>
    <w:rsid w:val="002D3B7E"/>
    <w:rsid w:val="002D4671"/>
    <w:rsid w:val="002E2FE6"/>
    <w:rsid w:val="002E5E0A"/>
    <w:rsid w:val="002F6C44"/>
    <w:rsid w:val="00302F48"/>
    <w:rsid w:val="003145CB"/>
    <w:rsid w:val="00322A93"/>
    <w:rsid w:val="003230E9"/>
    <w:rsid w:val="00323D0A"/>
    <w:rsid w:val="00324622"/>
    <w:rsid w:val="00334ECB"/>
    <w:rsid w:val="00336B5B"/>
    <w:rsid w:val="00343F1D"/>
    <w:rsid w:val="00346232"/>
    <w:rsid w:val="00370665"/>
    <w:rsid w:val="00371E0C"/>
    <w:rsid w:val="00371E4F"/>
    <w:rsid w:val="00381711"/>
    <w:rsid w:val="003849DC"/>
    <w:rsid w:val="0038587E"/>
    <w:rsid w:val="00386324"/>
    <w:rsid w:val="00386A9A"/>
    <w:rsid w:val="00393A3A"/>
    <w:rsid w:val="00396873"/>
    <w:rsid w:val="003A48AE"/>
    <w:rsid w:val="003A4FF4"/>
    <w:rsid w:val="003B48D7"/>
    <w:rsid w:val="003B4C09"/>
    <w:rsid w:val="003B6358"/>
    <w:rsid w:val="003C26F7"/>
    <w:rsid w:val="003D1337"/>
    <w:rsid w:val="003D284A"/>
    <w:rsid w:val="003F280A"/>
    <w:rsid w:val="00401C90"/>
    <w:rsid w:val="004020DB"/>
    <w:rsid w:val="00410E9D"/>
    <w:rsid w:val="00411BBC"/>
    <w:rsid w:val="00422F59"/>
    <w:rsid w:val="00423C14"/>
    <w:rsid w:val="00425624"/>
    <w:rsid w:val="00430B4E"/>
    <w:rsid w:val="00432DAD"/>
    <w:rsid w:val="004331A8"/>
    <w:rsid w:val="004415FC"/>
    <w:rsid w:val="00442098"/>
    <w:rsid w:val="00451BE2"/>
    <w:rsid w:val="0045630E"/>
    <w:rsid w:val="00465E77"/>
    <w:rsid w:val="0046649E"/>
    <w:rsid w:val="004720DD"/>
    <w:rsid w:val="00475F3A"/>
    <w:rsid w:val="00483CE4"/>
    <w:rsid w:val="00486F5A"/>
    <w:rsid w:val="00490229"/>
    <w:rsid w:val="00494510"/>
    <w:rsid w:val="004A0DF8"/>
    <w:rsid w:val="004A1A0E"/>
    <w:rsid w:val="004A5AE2"/>
    <w:rsid w:val="004B166A"/>
    <w:rsid w:val="004B5B9B"/>
    <w:rsid w:val="004C28AB"/>
    <w:rsid w:val="004C2AD3"/>
    <w:rsid w:val="004C5C9B"/>
    <w:rsid w:val="004C6A23"/>
    <w:rsid w:val="004C76EA"/>
    <w:rsid w:val="004E3E55"/>
    <w:rsid w:val="004E6735"/>
    <w:rsid w:val="004E76DE"/>
    <w:rsid w:val="0050490C"/>
    <w:rsid w:val="00506892"/>
    <w:rsid w:val="0051522D"/>
    <w:rsid w:val="00527E28"/>
    <w:rsid w:val="00533A68"/>
    <w:rsid w:val="00533BCB"/>
    <w:rsid w:val="005347B2"/>
    <w:rsid w:val="00535BD7"/>
    <w:rsid w:val="00536A4A"/>
    <w:rsid w:val="00537030"/>
    <w:rsid w:val="00537AF7"/>
    <w:rsid w:val="00565C2D"/>
    <w:rsid w:val="00570E68"/>
    <w:rsid w:val="00580128"/>
    <w:rsid w:val="00581BF1"/>
    <w:rsid w:val="00581CB4"/>
    <w:rsid w:val="005A1689"/>
    <w:rsid w:val="005A3A8B"/>
    <w:rsid w:val="005A55DF"/>
    <w:rsid w:val="005A6075"/>
    <w:rsid w:val="005B2BE0"/>
    <w:rsid w:val="005B3EA9"/>
    <w:rsid w:val="005B5247"/>
    <w:rsid w:val="005B7662"/>
    <w:rsid w:val="005D79DE"/>
    <w:rsid w:val="005F00C0"/>
    <w:rsid w:val="005F276D"/>
    <w:rsid w:val="006039B4"/>
    <w:rsid w:val="00607EFA"/>
    <w:rsid w:val="00622C61"/>
    <w:rsid w:val="006232A0"/>
    <w:rsid w:val="00627A3D"/>
    <w:rsid w:val="00631929"/>
    <w:rsid w:val="00636053"/>
    <w:rsid w:val="00640863"/>
    <w:rsid w:val="006441D4"/>
    <w:rsid w:val="00653504"/>
    <w:rsid w:val="00662256"/>
    <w:rsid w:val="00664DE9"/>
    <w:rsid w:val="00665122"/>
    <w:rsid w:val="00675FE8"/>
    <w:rsid w:val="00687E60"/>
    <w:rsid w:val="0069081D"/>
    <w:rsid w:val="0069654E"/>
    <w:rsid w:val="006A3CCC"/>
    <w:rsid w:val="006A59A7"/>
    <w:rsid w:val="006B57CD"/>
    <w:rsid w:val="006B5F6D"/>
    <w:rsid w:val="006C1CE3"/>
    <w:rsid w:val="006C3C74"/>
    <w:rsid w:val="006D15A8"/>
    <w:rsid w:val="006D5CCD"/>
    <w:rsid w:val="006F65BB"/>
    <w:rsid w:val="007016E0"/>
    <w:rsid w:val="00707333"/>
    <w:rsid w:val="00713E57"/>
    <w:rsid w:val="00715763"/>
    <w:rsid w:val="00721ECF"/>
    <w:rsid w:val="00733AE2"/>
    <w:rsid w:val="00734239"/>
    <w:rsid w:val="00735EAE"/>
    <w:rsid w:val="00743B31"/>
    <w:rsid w:val="007512DB"/>
    <w:rsid w:val="0075543D"/>
    <w:rsid w:val="007579B6"/>
    <w:rsid w:val="0076421C"/>
    <w:rsid w:val="00771236"/>
    <w:rsid w:val="00786FA6"/>
    <w:rsid w:val="00795C00"/>
    <w:rsid w:val="007A1A29"/>
    <w:rsid w:val="007A64CC"/>
    <w:rsid w:val="007B65AB"/>
    <w:rsid w:val="007C5110"/>
    <w:rsid w:val="007C7DE2"/>
    <w:rsid w:val="007F056B"/>
    <w:rsid w:val="007F0749"/>
    <w:rsid w:val="007F0B3F"/>
    <w:rsid w:val="007F3460"/>
    <w:rsid w:val="007F5E7B"/>
    <w:rsid w:val="00801366"/>
    <w:rsid w:val="00804DBF"/>
    <w:rsid w:val="00804DD6"/>
    <w:rsid w:val="00813158"/>
    <w:rsid w:val="008147A5"/>
    <w:rsid w:val="008155F0"/>
    <w:rsid w:val="00824820"/>
    <w:rsid w:val="00832034"/>
    <w:rsid w:val="00834F0F"/>
    <w:rsid w:val="008373D3"/>
    <w:rsid w:val="0084244F"/>
    <w:rsid w:val="008450BD"/>
    <w:rsid w:val="00846B43"/>
    <w:rsid w:val="00850834"/>
    <w:rsid w:val="0085282A"/>
    <w:rsid w:val="008674A0"/>
    <w:rsid w:val="0087193E"/>
    <w:rsid w:val="00872754"/>
    <w:rsid w:val="00886216"/>
    <w:rsid w:val="00887A38"/>
    <w:rsid w:val="00890613"/>
    <w:rsid w:val="00891AB1"/>
    <w:rsid w:val="00893BDD"/>
    <w:rsid w:val="008957FB"/>
    <w:rsid w:val="008B0318"/>
    <w:rsid w:val="008B6E66"/>
    <w:rsid w:val="008D5F7B"/>
    <w:rsid w:val="008D7EBD"/>
    <w:rsid w:val="008E3736"/>
    <w:rsid w:val="008F0074"/>
    <w:rsid w:val="008F0350"/>
    <w:rsid w:val="008F1780"/>
    <w:rsid w:val="0090063F"/>
    <w:rsid w:val="00904F44"/>
    <w:rsid w:val="00914099"/>
    <w:rsid w:val="00914EE4"/>
    <w:rsid w:val="009179E3"/>
    <w:rsid w:val="00931602"/>
    <w:rsid w:val="0093389B"/>
    <w:rsid w:val="00933A70"/>
    <w:rsid w:val="00936BFB"/>
    <w:rsid w:val="0093735D"/>
    <w:rsid w:val="0094320C"/>
    <w:rsid w:val="009518BE"/>
    <w:rsid w:val="00953EFC"/>
    <w:rsid w:val="009662F7"/>
    <w:rsid w:val="0098200B"/>
    <w:rsid w:val="0098262B"/>
    <w:rsid w:val="00982F55"/>
    <w:rsid w:val="00987E8C"/>
    <w:rsid w:val="009A7102"/>
    <w:rsid w:val="009B1F81"/>
    <w:rsid w:val="009B72DC"/>
    <w:rsid w:val="009E4F10"/>
    <w:rsid w:val="009E5DB5"/>
    <w:rsid w:val="009E66CF"/>
    <w:rsid w:val="009E6CE6"/>
    <w:rsid w:val="009F0161"/>
    <w:rsid w:val="00A006A1"/>
    <w:rsid w:val="00A026FC"/>
    <w:rsid w:val="00A03E2D"/>
    <w:rsid w:val="00A12B89"/>
    <w:rsid w:val="00A157A8"/>
    <w:rsid w:val="00A1781E"/>
    <w:rsid w:val="00A247BF"/>
    <w:rsid w:val="00A270A8"/>
    <w:rsid w:val="00A34261"/>
    <w:rsid w:val="00A40C42"/>
    <w:rsid w:val="00A43EE3"/>
    <w:rsid w:val="00A5062E"/>
    <w:rsid w:val="00A50C4A"/>
    <w:rsid w:val="00A53911"/>
    <w:rsid w:val="00A568F0"/>
    <w:rsid w:val="00A56B87"/>
    <w:rsid w:val="00A64B64"/>
    <w:rsid w:val="00A81AAA"/>
    <w:rsid w:val="00A84BE5"/>
    <w:rsid w:val="00A94000"/>
    <w:rsid w:val="00A95628"/>
    <w:rsid w:val="00AA3D95"/>
    <w:rsid w:val="00AA4C82"/>
    <w:rsid w:val="00AA5228"/>
    <w:rsid w:val="00AA7E2E"/>
    <w:rsid w:val="00AC04A0"/>
    <w:rsid w:val="00AC2B6F"/>
    <w:rsid w:val="00AD3D64"/>
    <w:rsid w:val="00AF0D92"/>
    <w:rsid w:val="00AF1E6B"/>
    <w:rsid w:val="00B032AF"/>
    <w:rsid w:val="00B137DE"/>
    <w:rsid w:val="00B13E31"/>
    <w:rsid w:val="00B2387C"/>
    <w:rsid w:val="00B25415"/>
    <w:rsid w:val="00B27D20"/>
    <w:rsid w:val="00B31C9C"/>
    <w:rsid w:val="00B33A31"/>
    <w:rsid w:val="00B33AAF"/>
    <w:rsid w:val="00B40902"/>
    <w:rsid w:val="00B45677"/>
    <w:rsid w:val="00B4674F"/>
    <w:rsid w:val="00B50921"/>
    <w:rsid w:val="00B565EB"/>
    <w:rsid w:val="00B61759"/>
    <w:rsid w:val="00B84D10"/>
    <w:rsid w:val="00B932BB"/>
    <w:rsid w:val="00BA0E7D"/>
    <w:rsid w:val="00BA3361"/>
    <w:rsid w:val="00BA34C8"/>
    <w:rsid w:val="00BB0FAC"/>
    <w:rsid w:val="00BB1263"/>
    <w:rsid w:val="00BB5D61"/>
    <w:rsid w:val="00BC77CE"/>
    <w:rsid w:val="00BD0F2F"/>
    <w:rsid w:val="00BE12C3"/>
    <w:rsid w:val="00BE4CF2"/>
    <w:rsid w:val="00BF2954"/>
    <w:rsid w:val="00BF7AB4"/>
    <w:rsid w:val="00C034D5"/>
    <w:rsid w:val="00C03DFA"/>
    <w:rsid w:val="00C07452"/>
    <w:rsid w:val="00C129C7"/>
    <w:rsid w:val="00C2782E"/>
    <w:rsid w:val="00C349E1"/>
    <w:rsid w:val="00C34D2C"/>
    <w:rsid w:val="00C36C03"/>
    <w:rsid w:val="00C4151A"/>
    <w:rsid w:val="00C45AE1"/>
    <w:rsid w:val="00C531BE"/>
    <w:rsid w:val="00C534DE"/>
    <w:rsid w:val="00C56950"/>
    <w:rsid w:val="00C63E83"/>
    <w:rsid w:val="00C66690"/>
    <w:rsid w:val="00C72DF0"/>
    <w:rsid w:val="00C8491B"/>
    <w:rsid w:val="00C90EC3"/>
    <w:rsid w:val="00C92179"/>
    <w:rsid w:val="00C934C6"/>
    <w:rsid w:val="00C94685"/>
    <w:rsid w:val="00C96770"/>
    <w:rsid w:val="00CA4068"/>
    <w:rsid w:val="00CA6112"/>
    <w:rsid w:val="00CA7F44"/>
    <w:rsid w:val="00CB2F86"/>
    <w:rsid w:val="00CB735E"/>
    <w:rsid w:val="00CC09FF"/>
    <w:rsid w:val="00CC12F5"/>
    <w:rsid w:val="00CC1586"/>
    <w:rsid w:val="00CC5ABE"/>
    <w:rsid w:val="00CE2BD0"/>
    <w:rsid w:val="00CE2DC4"/>
    <w:rsid w:val="00CF1BDA"/>
    <w:rsid w:val="00CF211A"/>
    <w:rsid w:val="00D0050C"/>
    <w:rsid w:val="00D10CD9"/>
    <w:rsid w:val="00D1239B"/>
    <w:rsid w:val="00D16A71"/>
    <w:rsid w:val="00D2748F"/>
    <w:rsid w:val="00D32BFB"/>
    <w:rsid w:val="00D33987"/>
    <w:rsid w:val="00D44014"/>
    <w:rsid w:val="00D466D7"/>
    <w:rsid w:val="00D52147"/>
    <w:rsid w:val="00D71789"/>
    <w:rsid w:val="00D74A93"/>
    <w:rsid w:val="00D7652B"/>
    <w:rsid w:val="00D8626A"/>
    <w:rsid w:val="00D906CA"/>
    <w:rsid w:val="00D922B7"/>
    <w:rsid w:val="00D92D06"/>
    <w:rsid w:val="00D95102"/>
    <w:rsid w:val="00DB7E9C"/>
    <w:rsid w:val="00DC2083"/>
    <w:rsid w:val="00DC62C8"/>
    <w:rsid w:val="00DC659C"/>
    <w:rsid w:val="00DC7F57"/>
    <w:rsid w:val="00DD178F"/>
    <w:rsid w:val="00DD658F"/>
    <w:rsid w:val="00DE4068"/>
    <w:rsid w:val="00DE6342"/>
    <w:rsid w:val="00DE7823"/>
    <w:rsid w:val="00DF1745"/>
    <w:rsid w:val="00DF36A2"/>
    <w:rsid w:val="00E172BC"/>
    <w:rsid w:val="00E2018C"/>
    <w:rsid w:val="00E2335A"/>
    <w:rsid w:val="00E24DD8"/>
    <w:rsid w:val="00E25FE4"/>
    <w:rsid w:val="00E37C77"/>
    <w:rsid w:val="00E42C90"/>
    <w:rsid w:val="00E503A6"/>
    <w:rsid w:val="00E506C5"/>
    <w:rsid w:val="00E53583"/>
    <w:rsid w:val="00E54C41"/>
    <w:rsid w:val="00E5775F"/>
    <w:rsid w:val="00E57887"/>
    <w:rsid w:val="00E601B0"/>
    <w:rsid w:val="00E65F40"/>
    <w:rsid w:val="00E83287"/>
    <w:rsid w:val="00E85281"/>
    <w:rsid w:val="00E95DC4"/>
    <w:rsid w:val="00E9621E"/>
    <w:rsid w:val="00EB6F01"/>
    <w:rsid w:val="00EC29E0"/>
    <w:rsid w:val="00EC4077"/>
    <w:rsid w:val="00ED2C84"/>
    <w:rsid w:val="00EE0EFD"/>
    <w:rsid w:val="00EE390F"/>
    <w:rsid w:val="00EF4F56"/>
    <w:rsid w:val="00EF51EB"/>
    <w:rsid w:val="00F042D4"/>
    <w:rsid w:val="00F107C1"/>
    <w:rsid w:val="00F13B90"/>
    <w:rsid w:val="00F269F1"/>
    <w:rsid w:val="00F3092F"/>
    <w:rsid w:val="00F31E26"/>
    <w:rsid w:val="00F40C73"/>
    <w:rsid w:val="00F415C3"/>
    <w:rsid w:val="00F426A6"/>
    <w:rsid w:val="00F42A6C"/>
    <w:rsid w:val="00F436E2"/>
    <w:rsid w:val="00F4443F"/>
    <w:rsid w:val="00F52782"/>
    <w:rsid w:val="00F7096D"/>
    <w:rsid w:val="00F77367"/>
    <w:rsid w:val="00F8325A"/>
    <w:rsid w:val="00F848B2"/>
    <w:rsid w:val="00F926D8"/>
    <w:rsid w:val="00FA1CFC"/>
    <w:rsid w:val="00FA5574"/>
    <w:rsid w:val="00FA5F47"/>
    <w:rsid w:val="00FB376C"/>
    <w:rsid w:val="00FC2788"/>
    <w:rsid w:val="00FC4695"/>
    <w:rsid w:val="00FD1C3F"/>
    <w:rsid w:val="00FE07C0"/>
    <w:rsid w:val="00FE43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1B7D34"/>
  <w15:chartTrackingRefBased/>
  <w15:docId w15:val="{AAAA723D-46F5-4C19-AE0E-A120B6714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57CD"/>
    <w:pPr>
      <w:widowControl w:val="0"/>
    </w:pPr>
    <w:rPr>
      <w:rFonts w:ascii="Arial" w:hAnsi="Arial"/>
      <w:snapToGrid w:val="0"/>
      <w:lang w:val="en-US" w:eastAsia="en-US"/>
    </w:rPr>
  </w:style>
  <w:style w:type="paragraph" w:styleId="Heading1">
    <w:name w:val="heading 1"/>
    <w:basedOn w:val="Normal"/>
    <w:next w:val="Normal"/>
    <w:qFormat/>
    <w:rsid w:val="003849DC"/>
    <w:pPr>
      <w:keepNext/>
      <w:widowControl/>
      <w:outlineLvl w:val="0"/>
    </w:pPr>
    <w:rPr>
      <w:rFonts w:cs="Arial"/>
      <w:b/>
      <w:bCs/>
      <w:snapToGrid/>
      <w:sz w:val="28"/>
      <w:szCs w:val="32"/>
      <w:lang w:val="en-AU"/>
    </w:rPr>
  </w:style>
  <w:style w:type="paragraph" w:styleId="Heading2">
    <w:name w:val="heading 2"/>
    <w:basedOn w:val="Normal"/>
    <w:next w:val="Normal"/>
    <w:qFormat/>
    <w:rsid w:val="003849DC"/>
    <w:pPr>
      <w:keepNext/>
      <w:widowControl/>
      <w:outlineLvl w:val="1"/>
    </w:pPr>
    <w:rPr>
      <w:rFonts w:cs="Arial"/>
      <w:b/>
      <w:bCs/>
      <w:iCs/>
      <w:snapToGrid/>
      <w:color w:val="000000"/>
      <w:sz w:val="28"/>
      <w:szCs w:val="28"/>
      <w:lang w:val="en-AU"/>
    </w:rPr>
  </w:style>
  <w:style w:type="paragraph" w:styleId="Heading3">
    <w:name w:val="heading 3"/>
    <w:basedOn w:val="Normal"/>
    <w:next w:val="Normal"/>
    <w:qFormat/>
    <w:rsid w:val="003849DC"/>
    <w:pPr>
      <w:keepNext/>
      <w:widowControl/>
      <w:numPr>
        <w:ilvl w:val="2"/>
        <w:numId w:val="8"/>
      </w:numPr>
      <w:outlineLvl w:val="2"/>
    </w:pPr>
    <w:rPr>
      <w:rFonts w:cs="Arial"/>
      <w:b/>
      <w:bCs/>
      <w:snapToGrid/>
      <w:szCs w:val="26"/>
      <w:lang w:val="en-AU"/>
    </w:rPr>
  </w:style>
  <w:style w:type="paragraph" w:styleId="Heading4">
    <w:name w:val="heading 4"/>
    <w:basedOn w:val="Normal"/>
    <w:next w:val="Normal"/>
    <w:qFormat/>
    <w:rsid w:val="003849DC"/>
    <w:pPr>
      <w:keepNext/>
      <w:widowControl/>
      <w:numPr>
        <w:ilvl w:val="3"/>
        <w:numId w:val="8"/>
      </w:numPr>
      <w:spacing w:after="200"/>
      <w:outlineLvl w:val="3"/>
    </w:pPr>
    <w:rPr>
      <w:b/>
      <w:bCs/>
      <w:snapToGrid/>
      <w:szCs w:val="28"/>
      <w:lang w:val="en-AU"/>
    </w:rPr>
  </w:style>
  <w:style w:type="paragraph" w:styleId="Heading5">
    <w:name w:val="heading 5"/>
    <w:basedOn w:val="Heading4"/>
    <w:next w:val="Normal"/>
    <w:qFormat/>
    <w:rsid w:val="003849DC"/>
    <w:pPr>
      <w:numPr>
        <w:ilvl w:val="4"/>
      </w:numPr>
      <w:outlineLvl w:val="4"/>
    </w:pPr>
    <w:rPr>
      <w:b w:val="0"/>
      <w:bCs w:val="0"/>
      <w:szCs w:val="22"/>
    </w:rPr>
  </w:style>
  <w:style w:type="paragraph" w:styleId="Heading6">
    <w:name w:val="heading 6"/>
    <w:basedOn w:val="Normal"/>
    <w:next w:val="Normal"/>
    <w:qFormat/>
    <w:rsid w:val="003849DC"/>
    <w:pPr>
      <w:widowControl/>
      <w:numPr>
        <w:ilvl w:val="5"/>
        <w:numId w:val="8"/>
      </w:numPr>
      <w:spacing w:after="200"/>
      <w:outlineLvl w:val="5"/>
    </w:pPr>
    <w:rPr>
      <w:bCs/>
      <w:snapToGrid/>
      <w:szCs w:val="22"/>
      <w:lang w:val="en-AU"/>
    </w:rPr>
  </w:style>
  <w:style w:type="paragraph" w:styleId="Heading7">
    <w:name w:val="heading 7"/>
    <w:basedOn w:val="Normal"/>
    <w:next w:val="Normal"/>
    <w:qFormat/>
    <w:rsid w:val="003849DC"/>
    <w:pPr>
      <w:widowControl/>
      <w:tabs>
        <w:tab w:val="left" w:pos="567"/>
      </w:tabs>
      <w:outlineLvl w:val="6"/>
    </w:pPr>
    <w:rPr>
      <w:snapToGrid/>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116E93"/>
    <w:pPr>
      <w:tabs>
        <w:tab w:val="center" w:pos="4153"/>
        <w:tab w:val="right" w:pos="8306"/>
      </w:tabs>
    </w:pPr>
  </w:style>
  <w:style w:type="paragraph" w:styleId="Footer">
    <w:name w:val="footer"/>
    <w:basedOn w:val="Normal"/>
    <w:link w:val="FooterChar"/>
    <w:uiPriority w:val="99"/>
    <w:rsid w:val="00116E93"/>
    <w:pPr>
      <w:tabs>
        <w:tab w:val="center" w:pos="4153"/>
        <w:tab w:val="right" w:pos="8306"/>
      </w:tabs>
    </w:pPr>
  </w:style>
  <w:style w:type="table" w:styleId="TableGrid">
    <w:name w:val="Table Grid"/>
    <w:basedOn w:val="TableNormal"/>
    <w:rsid w:val="003A48A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rsid w:val="003849DC"/>
    <w:pPr>
      <w:widowControl/>
      <w:shd w:val="clear" w:color="auto" w:fill="000080"/>
    </w:pPr>
    <w:rPr>
      <w:rFonts w:ascii="Comic Sans MS" w:hAnsi="Comic Sans MS" w:cs="Tahoma"/>
      <w:snapToGrid/>
      <w:lang w:val="en-AU"/>
    </w:rPr>
  </w:style>
  <w:style w:type="paragraph" w:customStyle="1" w:styleId="Heading2SS">
    <w:name w:val="Heading 2 + SS"/>
    <w:basedOn w:val="Heading2"/>
    <w:rsid w:val="00E65F40"/>
    <w:pPr>
      <w:keepNext w:val="0"/>
      <w:tabs>
        <w:tab w:val="left" w:pos="1985"/>
        <w:tab w:val="left" w:pos="2268"/>
      </w:tabs>
      <w:ind w:left="2268" w:hanging="2268"/>
    </w:pPr>
  </w:style>
  <w:style w:type="paragraph" w:customStyle="1" w:styleId="Heading3SS">
    <w:name w:val="Heading 3 + SS"/>
    <w:basedOn w:val="Heading3"/>
    <w:link w:val="Heading3SSChar"/>
    <w:rsid w:val="00E65F40"/>
    <w:pPr>
      <w:keepNext w:val="0"/>
      <w:numPr>
        <w:ilvl w:val="0"/>
        <w:numId w:val="0"/>
      </w:numPr>
      <w:tabs>
        <w:tab w:val="left" w:pos="851"/>
      </w:tabs>
      <w:ind w:left="851" w:hanging="851"/>
    </w:pPr>
  </w:style>
  <w:style w:type="paragraph" w:customStyle="1" w:styleId="Heading5SS">
    <w:name w:val="Heading 5 +SS"/>
    <w:basedOn w:val="Heading5"/>
    <w:rsid w:val="00E65F40"/>
    <w:pPr>
      <w:keepNext w:val="0"/>
      <w:numPr>
        <w:ilvl w:val="0"/>
        <w:numId w:val="0"/>
      </w:numPr>
      <w:tabs>
        <w:tab w:val="left" w:pos="454"/>
      </w:tabs>
      <w:spacing w:after="0"/>
      <w:ind w:left="454" w:hanging="454"/>
      <w:outlineLvl w:val="9"/>
    </w:pPr>
  </w:style>
  <w:style w:type="character" w:styleId="CommentReference">
    <w:name w:val="annotation reference"/>
    <w:semiHidden/>
    <w:rsid w:val="00D466D7"/>
    <w:rPr>
      <w:sz w:val="16"/>
      <w:szCs w:val="16"/>
    </w:rPr>
  </w:style>
  <w:style w:type="paragraph" w:styleId="CommentText">
    <w:name w:val="annotation text"/>
    <w:basedOn w:val="Normal"/>
    <w:link w:val="CommentTextChar"/>
    <w:semiHidden/>
    <w:rsid w:val="00D466D7"/>
    <w:rPr>
      <w:rFonts w:ascii="Times New Roman" w:hAnsi="Times New Roman"/>
    </w:rPr>
  </w:style>
  <w:style w:type="character" w:customStyle="1" w:styleId="Heading3SSChar">
    <w:name w:val="Heading 3 + SS Char"/>
    <w:link w:val="Heading3SS"/>
    <w:rsid w:val="00E65F40"/>
    <w:rPr>
      <w:rFonts w:ascii="Arial" w:hAnsi="Arial" w:cs="Arial"/>
      <w:b/>
      <w:bCs/>
      <w:szCs w:val="26"/>
      <w:lang w:eastAsia="en-US"/>
    </w:rPr>
  </w:style>
  <w:style w:type="paragraph" w:styleId="BodyText">
    <w:name w:val="Body Text"/>
    <w:basedOn w:val="Normal"/>
    <w:link w:val="BodyTextChar"/>
    <w:rsid w:val="000F120F"/>
    <w:pPr>
      <w:widowControl/>
      <w:spacing w:after="120" w:line="300" w:lineRule="atLeast"/>
    </w:pPr>
    <w:rPr>
      <w:rFonts w:cs="Arial"/>
      <w:snapToGrid/>
      <w:szCs w:val="22"/>
      <w:lang w:val="en-AU" w:eastAsia="en-AU"/>
    </w:rPr>
  </w:style>
  <w:style w:type="character" w:customStyle="1" w:styleId="BodyTextChar">
    <w:name w:val="Body Text Char"/>
    <w:link w:val="BodyText"/>
    <w:rsid w:val="000F120F"/>
    <w:rPr>
      <w:rFonts w:ascii="Arial" w:hAnsi="Arial" w:cs="Arial"/>
      <w:szCs w:val="22"/>
    </w:rPr>
  </w:style>
  <w:style w:type="paragraph" w:customStyle="1" w:styleId="TableBodyText">
    <w:name w:val="Table Body Text"/>
    <w:basedOn w:val="BodyText"/>
    <w:link w:val="TableBodyTextCharChar"/>
    <w:rsid w:val="000F120F"/>
    <w:pPr>
      <w:spacing w:before="60" w:after="60" w:line="240" w:lineRule="auto"/>
      <w:ind w:left="28"/>
    </w:pPr>
    <w:rPr>
      <w:rFonts w:cs="Times New Roman"/>
      <w:color w:val="000000"/>
      <w:szCs w:val="20"/>
      <w:lang w:val="x-none" w:eastAsia="x-none"/>
    </w:rPr>
  </w:style>
  <w:style w:type="character" w:customStyle="1" w:styleId="TableBodyTextCharChar">
    <w:name w:val="Table Body Text Char Char"/>
    <w:link w:val="TableBodyText"/>
    <w:rsid w:val="000F120F"/>
    <w:rPr>
      <w:rFonts w:ascii="Arial" w:hAnsi="Arial"/>
      <w:color w:val="000000"/>
    </w:rPr>
  </w:style>
  <w:style w:type="paragraph" w:styleId="ListParagraph">
    <w:name w:val="List Paragraph"/>
    <w:basedOn w:val="Normal"/>
    <w:uiPriority w:val="34"/>
    <w:qFormat/>
    <w:rsid w:val="000F120F"/>
    <w:pPr>
      <w:widowControl/>
      <w:ind w:left="720"/>
      <w:contextualSpacing/>
    </w:pPr>
    <w:rPr>
      <w:rFonts w:ascii="Verdana" w:hAnsi="Verdana"/>
      <w:snapToGrid/>
      <w:szCs w:val="24"/>
      <w:lang w:val="en-AU"/>
    </w:rPr>
  </w:style>
  <w:style w:type="paragraph" w:styleId="Revision">
    <w:name w:val="Revision"/>
    <w:hidden/>
    <w:uiPriority w:val="99"/>
    <w:semiHidden/>
    <w:rsid w:val="0069654E"/>
    <w:rPr>
      <w:rFonts w:ascii="Arial" w:hAnsi="Arial"/>
      <w:snapToGrid w:val="0"/>
      <w:lang w:val="en-US" w:eastAsia="en-US"/>
    </w:rPr>
  </w:style>
  <w:style w:type="paragraph" w:styleId="CommentSubject">
    <w:name w:val="annotation subject"/>
    <w:basedOn w:val="CommentText"/>
    <w:next w:val="CommentText"/>
    <w:link w:val="CommentSubjectChar"/>
    <w:rsid w:val="0069654E"/>
    <w:rPr>
      <w:rFonts w:ascii="Arial" w:hAnsi="Arial"/>
      <w:b/>
      <w:bCs/>
    </w:rPr>
  </w:style>
  <w:style w:type="character" w:customStyle="1" w:styleId="CommentTextChar">
    <w:name w:val="Comment Text Char"/>
    <w:basedOn w:val="DefaultParagraphFont"/>
    <w:link w:val="CommentText"/>
    <w:semiHidden/>
    <w:rsid w:val="0069654E"/>
    <w:rPr>
      <w:snapToGrid w:val="0"/>
      <w:lang w:val="en-US" w:eastAsia="en-US"/>
    </w:rPr>
  </w:style>
  <w:style w:type="character" w:customStyle="1" w:styleId="CommentSubjectChar">
    <w:name w:val="Comment Subject Char"/>
    <w:basedOn w:val="CommentTextChar"/>
    <w:link w:val="CommentSubject"/>
    <w:rsid w:val="0069654E"/>
    <w:rPr>
      <w:rFonts w:ascii="Arial" w:hAnsi="Arial"/>
      <w:b/>
      <w:bCs/>
      <w:snapToGrid w:val="0"/>
      <w:lang w:val="en-US" w:eastAsia="en-US"/>
    </w:rPr>
  </w:style>
  <w:style w:type="paragraph" w:customStyle="1" w:styleId="TableFigureLeft">
    <w:name w:val="Table / Figure Left"/>
    <w:basedOn w:val="Normal"/>
    <w:rsid w:val="00061A39"/>
    <w:pPr>
      <w:widowControl/>
      <w:spacing w:before="40" w:after="40"/>
    </w:pPr>
    <w:rPr>
      <w:rFonts w:eastAsia="Calibri" w:cs="Arial"/>
      <w:snapToGrid/>
      <w:sz w:val="18"/>
      <w:lang w:val="en-AU"/>
    </w:rPr>
  </w:style>
  <w:style w:type="paragraph" w:customStyle="1" w:styleId="TableHeadingLeft">
    <w:name w:val="Table Heading Left"/>
    <w:basedOn w:val="BodyText"/>
    <w:qFormat/>
    <w:rsid w:val="00061A39"/>
    <w:pPr>
      <w:keepNext/>
      <w:keepLines/>
      <w:spacing w:before="80" w:after="80" w:line="240" w:lineRule="atLeast"/>
    </w:pPr>
    <w:rPr>
      <w:rFonts w:eastAsia="Calibri"/>
      <w:b/>
      <w:sz w:val="18"/>
      <w:szCs w:val="18"/>
      <w:lang w:eastAsia="en-US"/>
    </w:rPr>
  </w:style>
  <w:style w:type="character" w:customStyle="1" w:styleId="FooterChar">
    <w:name w:val="Footer Char"/>
    <w:basedOn w:val="DefaultParagraphFont"/>
    <w:link w:val="Footer"/>
    <w:uiPriority w:val="99"/>
    <w:rsid w:val="007C5110"/>
    <w:rPr>
      <w:rFonts w:ascii="Arial" w:hAnsi="Arial"/>
      <w:snapToGrid w:val="0"/>
      <w:lang w:val="en-US" w:eastAsia="en-US"/>
    </w:rPr>
  </w:style>
  <w:style w:type="character" w:styleId="PlaceholderText">
    <w:name w:val="Placeholder Text"/>
    <w:basedOn w:val="DefaultParagraphFont"/>
    <w:uiPriority w:val="99"/>
    <w:semiHidden/>
    <w:rsid w:val="007C7DE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21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2084</Words>
  <Characters>11883</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Section 166</vt:lpstr>
    </vt:vector>
  </TitlesOfParts>
  <Company>VicRoads</Company>
  <LinksUpToDate>false</LinksUpToDate>
  <CharactersWithSpaces>13940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166</dc:title>
  <dc:subject>Rock Fill</dc:subject>
  <dc:creator>VicRoads</dc:creator>
  <cp:keywords/>
  <dc:description/>
  <cp:lastModifiedBy>Dimi Robinson (DTP)</cp:lastModifiedBy>
  <cp:revision>2</cp:revision>
  <cp:lastPrinted>2023-10-25T20:11:00Z</cp:lastPrinted>
  <dcterms:created xsi:type="dcterms:W3CDTF">2023-11-03T01:31:00Z</dcterms:created>
  <dcterms:modified xsi:type="dcterms:W3CDTF">2023-11-03T01:31:00Z</dcterms:modified>
</cp:coreProperties>
</file>