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9D6F9" w14:textId="77777777" w:rsidR="004705F1" w:rsidRPr="001F45C4" w:rsidRDefault="004705F1" w:rsidP="005431A0">
      <w:pPr>
        <w:pStyle w:val="Heading2SS"/>
      </w:pPr>
      <w:r w:rsidRPr="001F45C4">
        <w:t>SECTION 417</w:t>
      </w:r>
      <w:r w:rsidRPr="001F45C4">
        <w:tab/>
        <w:t>-</w:t>
      </w:r>
      <w:r w:rsidRPr="001F45C4">
        <w:tab/>
        <w:t>OPEN GRADED ASPHALT</w:t>
      </w:r>
      <w:r w:rsidRPr="001F45C4">
        <w:fldChar w:fldCharType="begin"/>
      </w:r>
      <w:r w:rsidRPr="001F45C4">
        <w:instrText>tc \l1 "SECTION 417</w:instrText>
      </w:r>
      <w:r w:rsidR="00433577" w:rsidRPr="001F45C4">
        <w:instrText xml:space="preserve">  </w:instrText>
      </w:r>
      <w:r w:rsidRPr="001F45C4">
        <w:instrText>-</w:instrText>
      </w:r>
      <w:r w:rsidR="00433577" w:rsidRPr="001F45C4">
        <w:instrText xml:space="preserve">  </w:instrText>
      </w:r>
      <w:r w:rsidRPr="001F45C4">
        <w:instrText>OPEN GRADED ASPHALT</w:instrText>
      </w:r>
      <w:r w:rsidRPr="001F45C4">
        <w:fldChar w:fldCharType="end"/>
      </w:r>
    </w:p>
    <w:p w14:paraId="37A8E7FF" w14:textId="77777777" w:rsidR="004705F1" w:rsidRDefault="004705F1" w:rsidP="00046599">
      <w:pPr>
        <w:rPr>
          <w:lang w:val="en-AU"/>
        </w:rPr>
      </w:pPr>
    </w:p>
    <w:p w14:paraId="65D8FDCC" w14:textId="77777777" w:rsidR="003A6CA1" w:rsidRDefault="003A6CA1" w:rsidP="00046599">
      <w:pPr>
        <w:rPr>
          <w:lang w:val="en-AU"/>
        </w:rPr>
      </w:pPr>
    </w:p>
    <w:p w14:paraId="508D64FB" w14:textId="77777777" w:rsidR="005A694C" w:rsidRDefault="005A694C" w:rsidP="00046599">
      <w:pPr>
        <w:rPr>
          <w:lang w:val="en-AU"/>
        </w:rPr>
      </w:pPr>
    </w:p>
    <w:p w14:paraId="5B67E446" w14:textId="77777777" w:rsidR="00ED431E" w:rsidRDefault="00ED431E" w:rsidP="00046599">
      <w:pPr>
        <w:rPr>
          <w:lang w:val="en-AU"/>
        </w:rPr>
      </w:pPr>
    </w:p>
    <w:p w14:paraId="3BAD2B45" w14:textId="77777777" w:rsidR="00EC5AD5" w:rsidRPr="00DB5220" w:rsidRDefault="00EC5AD5" w:rsidP="00046599">
      <w:r w:rsidRPr="00DB5220">
        <w:t>##This section cross-references Section</w:t>
      </w:r>
      <w:r>
        <w:t xml:space="preserve"> 407.</w:t>
      </w:r>
    </w:p>
    <w:p w14:paraId="7D61C7BC" w14:textId="77777777" w:rsidR="00EC5AD5" w:rsidRDefault="00EC5AD5" w:rsidP="00046599">
      <w:r>
        <w:t>If Section 407 is relevant, it should be included in the specification.</w:t>
      </w:r>
    </w:p>
    <w:p w14:paraId="2B38770D" w14:textId="77777777" w:rsidR="004705F1" w:rsidRDefault="00EC5AD5" w:rsidP="00046599">
      <w:r>
        <w:t>If Section 407 is not included in the specification, all references to it should be struck out, ensuring that the remaining text is still coherent:</w:t>
      </w:r>
    </w:p>
    <w:p w14:paraId="303BFC06" w14:textId="77777777" w:rsidR="00EC5AD5" w:rsidRDefault="00EC5AD5" w:rsidP="00046599">
      <w:pPr>
        <w:rPr>
          <w:lang w:val="en-AU"/>
        </w:rPr>
      </w:pPr>
    </w:p>
    <w:p w14:paraId="084044E7" w14:textId="77777777" w:rsidR="005A694C" w:rsidRDefault="005A694C" w:rsidP="00046599">
      <w:pPr>
        <w:rPr>
          <w:lang w:val="en-AU"/>
        </w:rPr>
      </w:pPr>
    </w:p>
    <w:p w14:paraId="24A019C7" w14:textId="77777777" w:rsidR="004705F1" w:rsidRDefault="004705F1" w:rsidP="00433577">
      <w:pPr>
        <w:rPr>
          <w:lang w:val="en-AU"/>
        </w:rPr>
      </w:pPr>
    </w:p>
    <w:p w14:paraId="2D09A230" w14:textId="77777777" w:rsidR="004705F1" w:rsidRDefault="004705F1" w:rsidP="00EC372C">
      <w:pPr>
        <w:pStyle w:val="Heading3SS"/>
      </w:pPr>
      <w:r>
        <w:t>41</w:t>
      </w:r>
      <w:bookmarkStart w:id="0" w:name="np417"/>
      <w:bookmarkEnd w:id="0"/>
      <w:r>
        <w:t>7.01</w:t>
      </w:r>
      <w:r>
        <w:tab/>
        <w:t>GENERAL</w:t>
      </w:r>
    </w:p>
    <w:p w14:paraId="659FDC6F" w14:textId="77777777" w:rsidR="004705F1" w:rsidRDefault="004705F1" w:rsidP="00046599">
      <w:pPr>
        <w:spacing w:before="200"/>
        <w:rPr>
          <w:lang w:val="en-AU"/>
        </w:rPr>
      </w:pPr>
      <w:r>
        <w:rPr>
          <w:lang w:val="en-AU"/>
        </w:rPr>
        <w:t xml:space="preserve">This section shall be read in conjunction with Section 407 - </w:t>
      </w:r>
      <w:proofErr w:type="gramStart"/>
      <w:r>
        <w:rPr>
          <w:lang w:val="en-AU"/>
        </w:rPr>
        <w:t>Asphalt, and</w:t>
      </w:r>
      <w:proofErr w:type="gramEnd"/>
      <w:r>
        <w:rPr>
          <w:lang w:val="en-AU"/>
        </w:rPr>
        <w:t xml:space="preserve"> covers special requirements for Size 10 open graded asphalt surfacing that are in addition to, or override, the requirements for Section 407.</w:t>
      </w:r>
    </w:p>
    <w:p w14:paraId="40D875BA" w14:textId="77777777" w:rsidR="004705F1" w:rsidRDefault="004705F1" w:rsidP="00046599">
      <w:pPr>
        <w:rPr>
          <w:lang w:val="en-AU"/>
        </w:rPr>
      </w:pPr>
    </w:p>
    <w:p w14:paraId="4B292D85" w14:textId="77777777" w:rsidR="004705F1" w:rsidRDefault="004705F1" w:rsidP="00046599">
      <w:pPr>
        <w:rPr>
          <w:lang w:val="en-AU"/>
        </w:rPr>
      </w:pPr>
    </w:p>
    <w:p w14:paraId="05C43610" w14:textId="77777777" w:rsidR="003A6CA1" w:rsidRDefault="003A6CA1" w:rsidP="00046599">
      <w:pPr>
        <w:rPr>
          <w:lang w:val="en-AU"/>
        </w:rPr>
      </w:pPr>
    </w:p>
    <w:p w14:paraId="535AC91F" w14:textId="77777777" w:rsidR="004705F1" w:rsidRDefault="004705F1" w:rsidP="00EC372C">
      <w:pPr>
        <w:pStyle w:val="Heading3SS"/>
      </w:pPr>
      <w:r>
        <w:t>417.02</w:t>
      </w:r>
      <w:r>
        <w:tab/>
        <w:t>DESCRIPTION OF MATERIAL</w:t>
      </w:r>
    </w:p>
    <w:p w14:paraId="5CE284C6" w14:textId="77777777" w:rsidR="004705F1" w:rsidRDefault="004705F1" w:rsidP="00046599">
      <w:pPr>
        <w:spacing w:before="200"/>
        <w:rPr>
          <w:lang w:val="en-AU"/>
        </w:rPr>
      </w:pPr>
      <w:r>
        <w:rPr>
          <w:lang w:val="en-AU"/>
        </w:rPr>
        <w:t>Open Graded Asphalt (OGA) is an asphalt manufactured essentially from a Size 10 one</w:t>
      </w:r>
      <w:r>
        <w:rPr>
          <w:lang w:val="en-AU"/>
        </w:rPr>
        <w:noBreakHyphen/>
        <w:t>sized aggregate to produce a mix with high air voids.</w:t>
      </w:r>
    </w:p>
    <w:p w14:paraId="790C89F3" w14:textId="77777777" w:rsidR="004705F1" w:rsidRDefault="004705F1" w:rsidP="00046599">
      <w:pPr>
        <w:rPr>
          <w:lang w:val="en-AU"/>
        </w:rPr>
      </w:pPr>
    </w:p>
    <w:p w14:paraId="7115304D" w14:textId="77777777" w:rsidR="004705F1" w:rsidRDefault="004705F1" w:rsidP="00046599">
      <w:pPr>
        <w:rPr>
          <w:lang w:val="en-AU"/>
        </w:rPr>
      </w:pPr>
    </w:p>
    <w:p w14:paraId="54EAF215" w14:textId="77777777" w:rsidR="003A6CA1" w:rsidRDefault="003A6CA1" w:rsidP="00046599">
      <w:pPr>
        <w:rPr>
          <w:lang w:val="en-AU"/>
        </w:rPr>
      </w:pPr>
    </w:p>
    <w:p w14:paraId="5455F010" w14:textId="77777777" w:rsidR="004705F1" w:rsidRDefault="004705F1" w:rsidP="00EC372C">
      <w:pPr>
        <w:pStyle w:val="Heading3SS"/>
      </w:pPr>
      <w:r>
        <w:t>417.03</w:t>
      </w:r>
      <w:r>
        <w:tab/>
        <w:t>AGGREGATES</w:t>
      </w:r>
    </w:p>
    <w:p w14:paraId="7FE766E2" w14:textId="77777777" w:rsidR="004705F1" w:rsidRDefault="004705F1" w:rsidP="00046599">
      <w:pPr>
        <w:spacing w:before="200"/>
        <w:rPr>
          <w:lang w:val="en-AU"/>
        </w:rPr>
      </w:pPr>
      <w:r>
        <w:rPr>
          <w:lang w:val="en-AU"/>
        </w:rPr>
        <w:t xml:space="preserve">Unless otherwise specified, properties of the aggregates used in OGA shall comply with the requirements for asphalt Type H as specified in </w:t>
      </w:r>
      <w:r w:rsidR="0075763E">
        <w:rPr>
          <w:lang w:val="en-AU"/>
        </w:rPr>
        <w:t>clause</w:t>
      </w:r>
      <w:r>
        <w:rPr>
          <w:lang w:val="en-AU"/>
        </w:rPr>
        <w:t> 407.03.</w:t>
      </w:r>
      <w:r w:rsidR="00433577">
        <w:rPr>
          <w:lang w:val="en-AU"/>
        </w:rPr>
        <w:t xml:space="preserve">  Further to </w:t>
      </w:r>
      <w:r w:rsidR="0075763E">
        <w:rPr>
          <w:lang w:val="en-AU"/>
        </w:rPr>
        <w:t>clause</w:t>
      </w:r>
      <w:r w:rsidR="00433577">
        <w:rPr>
          <w:lang w:val="en-AU"/>
        </w:rPr>
        <w:t>s 407.03 and 407.09, no RAP shall be added to OGA.</w:t>
      </w:r>
    </w:p>
    <w:p w14:paraId="6B62DA78" w14:textId="77777777" w:rsidR="004705F1" w:rsidRDefault="004705F1" w:rsidP="00046599">
      <w:pPr>
        <w:rPr>
          <w:lang w:val="en-AU"/>
        </w:rPr>
      </w:pPr>
    </w:p>
    <w:p w14:paraId="4A641CDD" w14:textId="77777777" w:rsidR="004705F1" w:rsidRDefault="004705F1" w:rsidP="00046599">
      <w:pPr>
        <w:rPr>
          <w:lang w:val="en-AU"/>
        </w:rPr>
      </w:pPr>
    </w:p>
    <w:p w14:paraId="7DB41A15" w14:textId="77777777" w:rsidR="003A6CA1" w:rsidRDefault="003A6CA1" w:rsidP="00046599">
      <w:pPr>
        <w:rPr>
          <w:lang w:val="en-AU"/>
        </w:rPr>
      </w:pPr>
    </w:p>
    <w:p w14:paraId="015982A1" w14:textId="77777777" w:rsidR="004705F1" w:rsidRDefault="004705F1" w:rsidP="00EC372C">
      <w:pPr>
        <w:pStyle w:val="Heading3SS"/>
      </w:pPr>
      <w:r>
        <w:t>417.04</w:t>
      </w:r>
      <w:r>
        <w:tab/>
        <w:t>BINDER</w:t>
      </w:r>
    </w:p>
    <w:p w14:paraId="61F51CA6" w14:textId="77777777" w:rsidR="004705F1" w:rsidRDefault="004705F1" w:rsidP="00046599">
      <w:pPr>
        <w:spacing w:before="200"/>
        <w:rPr>
          <w:lang w:val="en-AU"/>
        </w:rPr>
      </w:pPr>
      <w:r>
        <w:rPr>
          <w:lang w:val="en-AU"/>
        </w:rPr>
        <w:t xml:space="preserve">Binder used in OGA shall be a Polymer Modified Binder (PMB), complying with the requirements of the </w:t>
      </w:r>
      <w:r w:rsidR="00930AB6">
        <w:rPr>
          <w:lang w:val="en-AU"/>
        </w:rPr>
        <w:t xml:space="preserve">Austroads Test Method </w:t>
      </w:r>
      <w:r w:rsidR="00433577">
        <w:rPr>
          <w:lang w:val="en-AU"/>
        </w:rPr>
        <w:t>A</w:t>
      </w:r>
      <w:r w:rsidR="00930AB6">
        <w:rPr>
          <w:lang w:val="en-AU"/>
        </w:rPr>
        <w:t>GPT/</w:t>
      </w:r>
      <w:r w:rsidR="00433577">
        <w:rPr>
          <w:lang w:val="en-AU"/>
        </w:rPr>
        <w:t>T1</w:t>
      </w:r>
      <w:r w:rsidR="00930AB6">
        <w:rPr>
          <w:lang w:val="en-AU"/>
        </w:rPr>
        <w:t>90</w:t>
      </w:r>
      <w:r w:rsidR="00433577">
        <w:rPr>
          <w:lang w:val="en-AU"/>
        </w:rPr>
        <w:t xml:space="preserve"> </w:t>
      </w:r>
      <w:r>
        <w:rPr>
          <w:lang w:val="en-AU"/>
        </w:rPr>
        <w:t>Specification for Polymer Modified Binders.</w:t>
      </w:r>
    </w:p>
    <w:p w14:paraId="1358F50F" w14:textId="77777777" w:rsidR="004705F1" w:rsidRDefault="004705F1" w:rsidP="00046599">
      <w:pPr>
        <w:spacing w:before="200"/>
        <w:rPr>
          <w:lang w:val="en-AU"/>
        </w:rPr>
      </w:pPr>
      <w:r>
        <w:rPr>
          <w:lang w:val="en-AU"/>
        </w:rPr>
        <w:t xml:space="preserve">Unless otherwise specified in </w:t>
      </w:r>
      <w:r w:rsidR="0075763E">
        <w:rPr>
          <w:lang w:val="en-AU"/>
        </w:rPr>
        <w:t>clause</w:t>
      </w:r>
      <w:r>
        <w:rPr>
          <w:lang w:val="en-AU"/>
        </w:rPr>
        <w:t> 407.2</w:t>
      </w:r>
      <w:r w:rsidR="00A279B5">
        <w:rPr>
          <w:lang w:val="en-AU"/>
        </w:rPr>
        <w:t>3</w:t>
      </w:r>
      <w:r>
        <w:rPr>
          <w:lang w:val="en-AU"/>
        </w:rPr>
        <w:t>(</w:t>
      </w:r>
      <w:r w:rsidR="003A6CA1">
        <w:rPr>
          <w:lang w:val="en-AU"/>
        </w:rPr>
        <w:t>a</w:t>
      </w:r>
      <w:r>
        <w:rPr>
          <w:lang w:val="en-AU"/>
        </w:rPr>
        <w:t>), the PMB to be used in OGA shall be one of the following grades:</w:t>
      </w:r>
    </w:p>
    <w:p w14:paraId="56BDFCD7" w14:textId="77777777" w:rsidR="004705F1" w:rsidRPr="00EC372C" w:rsidRDefault="00EC372C" w:rsidP="00E34D0A">
      <w:pPr>
        <w:spacing w:before="160"/>
        <w:rPr>
          <w:lang w:val="en-AU"/>
        </w:rPr>
      </w:pPr>
      <w:r>
        <w:rPr>
          <w:lang w:val="en-AU"/>
        </w:rPr>
        <w:tab/>
      </w:r>
      <w:r w:rsidR="00DC3D01">
        <w:rPr>
          <w:lang w:val="en-AU"/>
        </w:rPr>
        <w:t>A10E</w:t>
      </w:r>
      <w:r w:rsidR="009863E4">
        <w:rPr>
          <w:lang w:val="en-AU"/>
        </w:rPr>
        <w:t xml:space="preserve">,  </w:t>
      </w:r>
      <w:r w:rsidR="004705F1" w:rsidRPr="00EC372C">
        <w:rPr>
          <w:lang w:val="en-AU"/>
        </w:rPr>
        <w:t>A15E</w:t>
      </w:r>
      <w:r w:rsidR="00E34D0A">
        <w:rPr>
          <w:lang w:val="en-AU"/>
        </w:rPr>
        <w:t>,  A20E,  A25E,  A30P  or  A35P</w:t>
      </w:r>
    </w:p>
    <w:p w14:paraId="5199AD61" w14:textId="77777777" w:rsidR="004705F1" w:rsidRDefault="004705F1" w:rsidP="00046599">
      <w:pPr>
        <w:rPr>
          <w:lang w:val="en-AU"/>
        </w:rPr>
      </w:pPr>
    </w:p>
    <w:p w14:paraId="0F9D43F3" w14:textId="77777777" w:rsidR="003A6CA1" w:rsidRDefault="003A6CA1" w:rsidP="00046599">
      <w:pPr>
        <w:rPr>
          <w:lang w:val="en-AU"/>
        </w:rPr>
      </w:pPr>
    </w:p>
    <w:p w14:paraId="1F446F5C" w14:textId="77777777" w:rsidR="004705F1" w:rsidRDefault="004705F1" w:rsidP="00046599">
      <w:pPr>
        <w:rPr>
          <w:lang w:val="en-AU"/>
        </w:rPr>
      </w:pPr>
    </w:p>
    <w:p w14:paraId="1F70EB19" w14:textId="77777777" w:rsidR="004705F1" w:rsidRDefault="004705F1" w:rsidP="00EC372C">
      <w:pPr>
        <w:pStyle w:val="Heading3SS"/>
      </w:pPr>
      <w:r>
        <w:t>417.05</w:t>
      </w:r>
      <w:r>
        <w:tab/>
        <w:t>MIX DESIGN</w:t>
      </w:r>
    </w:p>
    <w:p w14:paraId="49F7ED48" w14:textId="77777777" w:rsidR="003A6CA1" w:rsidRPr="00EC372C" w:rsidRDefault="004705F1" w:rsidP="00E34D0A">
      <w:pPr>
        <w:spacing w:before="200"/>
        <w:rPr>
          <w:lang w:val="en-AU"/>
        </w:rPr>
      </w:pPr>
      <w:r w:rsidRPr="00EC372C">
        <w:rPr>
          <w:lang w:val="en-AU"/>
        </w:rPr>
        <w:t xml:space="preserve">The </w:t>
      </w:r>
      <w:r w:rsidR="003A6CA1" w:rsidRPr="00EC372C">
        <w:rPr>
          <w:lang w:val="en-AU"/>
        </w:rPr>
        <w:t>asphalt</w:t>
      </w:r>
      <w:r w:rsidRPr="00EC372C">
        <w:rPr>
          <w:lang w:val="en-AU"/>
        </w:rPr>
        <w:t xml:space="preserve"> mix </w:t>
      </w:r>
      <w:r w:rsidR="003A6CA1" w:rsidRPr="00EC372C">
        <w:rPr>
          <w:lang w:val="en-AU"/>
        </w:rPr>
        <w:t xml:space="preserve">proposed for use shall be registered in accordance with </w:t>
      </w:r>
      <w:r w:rsidR="0075763E">
        <w:rPr>
          <w:lang w:val="en-AU"/>
        </w:rPr>
        <w:t>clause</w:t>
      </w:r>
      <w:r w:rsidR="003A6CA1" w:rsidRPr="00EC372C">
        <w:rPr>
          <w:lang w:val="en-AU"/>
        </w:rPr>
        <w:t> 407.06.</w:t>
      </w:r>
    </w:p>
    <w:p w14:paraId="4756BCC5" w14:textId="77777777" w:rsidR="004705F1" w:rsidRDefault="004705F1" w:rsidP="00DA51DA">
      <w:pPr>
        <w:spacing w:before="200"/>
        <w:rPr>
          <w:lang w:val="en-AU"/>
        </w:rPr>
      </w:pPr>
      <w:r>
        <w:rPr>
          <w:lang w:val="en-AU"/>
        </w:rPr>
        <w:t xml:space="preserve">The Contractor shall </w:t>
      </w:r>
      <w:r w:rsidR="003A6CA1">
        <w:rPr>
          <w:lang w:val="en-AU"/>
        </w:rPr>
        <w:t xml:space="preserve">also </w:t>
      </w:r>
      <w:r>
        <w:rPr>
          <w:lang w:val="en-AU"/>
        </w:rPr>
        <w:t>provide the following</w:t>
      </w:r>
      <w:r w:rsidR="003A6CA1">
        <w:rPr>
          <w:lang w:val="en-AU"/>
        </w:rPr>
        <w:t xml:space="preserve"> information</w:t>
      </w:r>
      <w:r>
        <w:rPr>
          <w:lang w:val="en-AU"/>
        </w:rPr>
        <w:t>:</w:t>
      </w:r>
    </w:p>
    <w:p w14:paraId="6594B4B2" w14:textId="77777777" w:rsidR="004705F1" w:rsidRDefault="004705F1" w:rsidP="00E340D6">
      <w:pPr>
        <w:tabs>
          <w:tab w:val="left" w:pos="454"/>
        </w:tabs>
        <w:spacing w:before="160"/>
        <w:ind w:left="454" w:hanging="454"/>
      </w:pPr>
      <w:r>
        <w:t>(a)</w:t>
      </w:r>
      <w:r>
        <w:tab/>
      </w:r>
      <w:r>
        <w:rPr>
          <w:lang w:val="en-AU"/>
        </w:rPr>
        <w:t>the</w:t>
      </w:r>
      <w:r>
        <w:t xml:space="preserve"> class and test</w:t>
      </w:r>
      <w:r w:rsidR="00E340D6">
        <w:t xml:space="preserve"> properties of the PMB proposed</w:t>
      </w:r>
    </w:p>
    <w:p w14:paraId="14E4F66B" w14:textId="77777777" w:rsidR="004705F1" w:rsidRDefault="004705F1" w:rsidP="00E340D6">
      <w:pPr>
        <w:tabs>
          <w:tab w:val="left" w:pos="454"/>
        </w:tabs>
        <w:spacing w:before="160"/>
        <w:ind w:left="454" w:hanging="454"/>
      </w:pPr>
      <w:r>
        <w:t>(</w:t>
      </w:r>
      <w:r w:rsidR="003A6CA1">
        <w:t>b</w:t>
      </w:r>
      <w:r>
        <w:t>)</w:t>
      </w:r>
      <w:r>
        <w:tab/>
      </w:r>
      <w:r>
        <w:rPr>
          <w:lang w:val="en-AU"/>
        </w:rPr>
        <w:t>the</w:t>
      </w:r>
      <w:r>
        <w:t xml:space="preserve"> results of the Binder Paste Drain Off tests meeting the requirements of </w:t>
      </w:r>
      <w:r w:rsidR="0075763E">
        <w:t>clause</w:t>
      </w:r>
      <w:r>
        <w:t> 417.06(d) and the selected maximum mixing temperature to avoid excess binder drain off.</w:t>
      </w:r>
    </w:p>
    <w:p w14:paraId="2ECE33F9" w14:textId="77777777" w:rsidR="004705F1" w:rsidRPr="00EC372C" w:rsidRDefault="004705F1" w:rsidP="00046599">
      <w:pPr>
        <w:spacing w:before="200"/>
        <w:rPr>
          <w:lang w:val="en-AU"/>
        </w:rPr>
      </w:pPr>
      <w:r w:rsidRPr="00EC372C">
        <w:rPr>
          <w:lang w:val="en-AU"/>
        </w:rPr>
        <w:t xml:space="preserve">The </w:t>
      </w:r>
      <w:r w:rsidR="00433577">
        <w:rPr>
          <w:lang w:val="en-AU"/>
        </w:rPr>
        <w:t>I</w:t>
      </w:r>
      <w:r w:rsidR="003A6CA1" w:rsidRPr="00EC372C">
        <w:rPr>
          <w:lang w:val="en-AU"/>
        </w:rPr>
        <w:t>ndirect Tensile Modulus of the mix is not required to be submitted</w:t>
      </w:r>
      <w:r w:rsidRPr="00EC372C">
        <w:rPr>
          <w:lang w:val="en-AU"/>
        </w:rPr>
        <w:t>.</w:t>
      </w:r>
    </w:p>
    <w:p w14:paraId="37ACADC6" w14:textId="77777777" w:rsidR="00EC372C" w:rsidRDefault="00EC372C" w:rsidP="00E340D6">
      <w:pPr>
        <w:rPr>
          <w:lang w:val="en-AU"/>
        </w:rPr>
      </w:pPr>
    </w:p>
    <w:p w14:paraId="7693685B" w14:textId="77777777" w:rsidR="00EC372C" w:rsidRDefault="00035166" w:rsidP="00256ECA">
      <w:pPr>
        <w:spacing w:line="80" w:lineRule="exact"/>
        <w:rPr>
          <w:lang w:val="en-AU"/>
        </w:rPr>
      </w:pPr>
      <w:r>
        <w:rPr>
          <w:noProof/>
          <w:snapToGrid/>
          <w:lang w:val="en-AU" w:eastAsia="en-AU"/>
        </w:rPr>
        <w:pict w14:anchorId="6A4C44DD">
          <v:shapetype id="_x0000_t202" coordsize="21600,21600" o:spt="202" path="m,l,21600r21600,l21600,xe">
            <v:stroke joinstyle="miter"/>
            <v:path gradientshapeok="t" o:connecttype="rect"/>
          </v:shapetype>
          <v:shape id="_x0000_s1035" type="#_x0000_t202" style="position:absolute;margin-left:0;margin-top:779.65pt;width:481.9pt;height:36.85pt;z-index:-251659776;mso-wrap-distance-top:5.65pt;mso-position-horizontal:center;mso-position-horizontal-relative:page;mso-position-vertical-relative:page" stroked="f">
            <v:textbox style="mso-next-textbox:#_x0000_s1035" inset="0,,0">
              <w:txbxContent>
                <w:p w14:paraId="6CC2ED69" w14:textId="77777777" w:rsidR="00446088" w:rsidRDefault="00446088" w:rsidP="00DA51DA">
                  <w:pPr>
                    <w:pBdr>
                      <w:top w:val="single" w:sz="6" w:space="1" w:color="000000"/>
                    </w:pBdr>
                    <w:spacing w:line="60" w:lineRule="exact"/>
                    <w:jc w:val="right"/>
                    <w:rPr>
                      <w:b/>
                    </w:rPr>
                  </w:pPr>
                </w:p>
                <w:p w14:paraId="0D1ABB46" w14:textId="65AF923B" w:rsidR="00446088" w:rsidRDefault="00446088" w:rsidP="00DA51DA">
                  <w:pPr>
                    <w:pBdr>
                      <w:top w:val="single" w:sz="6" w:space="1" w:color="000000"/>
                    </w:pBdr>
                    <w:jc w:val="right"/>
                  </w:pPr>
                  <w:r>
                    <w:rPr>
                      <w:b/>
                    </w:rPr>
                    <w:t>©</w:t>
                  </w:r>
                  <w:r>
                    <w:t xml:space="preserve"> </w:t>
                  </w:r>
                  <w:r w:rsidR="00035166">
                    <w:t xml:space="preserve">Department of </w:t>
                  </w:r>
                  <w:proofErr w:type="gramStart"/>
                  <w:r w:rsidR="00035166">
                    <w:t>Transport</w:t>
                  </w:r>
                  <w:r>
                    <w:t xml:space="preserve">  </w:t>
                  </w:r>
                  <w:r w:rsidR="009863E4">
                    <w:t>December</w:t>
                  </w:r>
                  <w:proofErr w:type="gramEnd"/>
                  <w:r w:rsidR="009863E4">
                    <w:t xml:space="preserve"> 2018</w:t>
                  </w:r>
                </w:p>
                <w:p w14:paraId="558F3615" w14:textId="77777777" w:rsidR="00446088" w:rsidRDefault="00446088" w:rsidP="00DA51DA">
                  <w:pPr>
                    <w:jc w:val="right"/>
                  </w:pPr>
                  <w:r>
                    <w:t xml:space="preserve">Section 417 (Page 1 of </w:t>
                  </w:r>
                  <w:r w:rsidR="0014029C">
                    <w:t>3</w:t>
                  </w:r>
                  <w:r>
                    <w:t>)</w:t>
                  </w:r>
                </w:p>
                <w:p w14:paraId="721AB2AB" w14:textId="77777777" w:rsidR="00446088" w:rsidRDefault="00446088" w:rsidP="00DA51DA">
                  <w:pPr>
                    <w:jc w:val="right"/>
                  </w:pPr>
                </w:p>
              </w:txbxContent>
            </v:textbox>
            <w10:wrap anchorx="page" anchory="page"/>
            <w10:anchorlock/>
          </v:shape>
        </w:pict>
      </w:r>
      <w:r w:rsidR="00EC372C">
        <w:rPr>
          <w:lang w:val="en-AU"/>
        </w:rPr>
        <w:br w:type="page"/>
      </w:r>
    </w:p>
    <w:p w14:paraId="10176CB0" w14:textId="77777777" w:rsidR="004705F1" w:rsidRDefault="004705F1" w:rsidP="00EC372C">
      <w:pPr>
        <w:pStyle w:val="Heading3SS"/>
      </w:pPr>
      <w:r>
        <w:t>417.06</w:t>
      </w:r>
      <w:r>
        <w:tab/>
        <w:t>MIX DESIGN REQUIREMENTS</w:t>
      </w:r>
    </w:p>
    <w:p w14:paraId="6DB158B4" w14:textId="77777777" w:rsidR="001B6D2C" w:rsidRPr="00974A8B" w:rsidRDefault="001B6D2C" w:rsidP="00256ECA">
      <w:pPr>
        <w:spacing w:line="180" w:lineRule="exact"/>
      </w:pPr>
    </w:p>
    <w:p w14:paraId="47A4D725" w14:textId="77777777" w:rsidR="004705F1" w:rsidRDefault="004705F1" w:rsidP="001B6D2C">
      <w:pPr>
        <w:pStyle w:val="Heading5SS"/>
      </w:pPr>
      <w:r>
        <w:t>(a)</w:t>
      </w:r>
      <w:r>
        <w:tab/>
        <w:t>Grading Limits and Production Tolerances for Aggregates</w:t>
      </w:r>
    </w:p>
    <w:p w14:paraId="19DE73B2" w14:textId="77777777" w:rsidR="004705F1" w:rsidRDefault="004705F1" w:rsidP="00256ECA">
      <w:pPr>
        <w:tabs>
          <w:tab w:val="left" w:pos="454"/>
        </w:tabs>
        <w:spacing w:before="120"/>
        <w:ind w:left="454" w:hanging="454"/>
        <w:rPr>
          <w:lang w:val="en-AU"/>
        </w:rPr>
      </w:pPr>
      <w:r>
        <w:rPr>
          <w:lang w:val="en-AU"/>
        </w:rPr>
        <w:tab/>
        <w:t>Unless otherwise specified or directed, the grading of mineral matter, and the production tolerances from the grading aim shall lie within the limits specified in Table 417.061.</w:t>
      </w:r>
    </w:p>
    <w:p w14:paraId="0609318F" w14:textId="77777777" w:rsidR="004705F1" w:rsidRPr="00ED431E" w:rsidRDefault="004705F1" w:rsidP="00446088">
      <w:pPr>
        <w:tabs>
          <w:tab w:val="left" w:pos="454"/>
        </w:tabs>
        <w:rPr>
          <w:b/>
        </w:rPr>
      </w:pPr>
    </w:p>
    <w:tbl>
      <w:tblPr>
        <w:tblW w:w="0" w:type="auto"/>
        <w:tblInd w:w="1021" w:type="dxa"/>
        <w:tblLayout w:type="fixed"/>
        <w:tblCellMar>
          <w:top w:w="57" w:type="dxa"/>
          <w:left w:w="85" w:type="dxa"/>
          <w:bottom w:w="28" w:type="dxa"/>
          <w:right w:w="85" w:type="dxa"/>
        </w:tblCellMar>
        <w:tblLook w:val="0000" w:firstRow="0" w:lastRow="0" w:firstColumn="0" w:lastColumn="0" w:noHBand="0" w:noVBand="0"/>
      </w:tblPr>
      <w:tblGrid>
        <w:gridCol w:w="1568"/>
        <w:gridCol w:w="1399"/>
        <w:gridCol w:w="1701"/>
        <w:gridCol w:w="1964"/>
      </w:tblGrid>
      <w:tr w:rsidR="00446088" w:rsidRPr="001F45C4" w14:paraId="15B7D757" w14:textId="77777777" w:rsidTr="00446088">
        <w:trPr>
          <w:cantSplit/>
        </w:trPr>
        <w:tc>
          <w:tcPr>
            <w:tcW w:w="1568" w:type="dxa"/>
            <w:tcBorders>
              <w:right w:val="single" w:sz="6" w:space="0" w:color="FFFFFF"/>
            </w:tcBorders>
          </w:tcPr>
          <w:p w14:paraId="29BEEFC6" w14:textId="77777777" w:rsidR="00446088" w:rsidRPr="001F45C4" w:rsidRDefault="00446088" w:rsidP="00256ECA">
            <w:pPr>
              <w:jc w:val="center"/>
              <w:rPr>
                <w:b/>
                <w:lang w:val="en-AU"/>
              </w:rPr>
            </w:pPr>
            <w:r w:rsidRPr="00ED431E">
              <w:rPr>
                <w:b/>
              </w:rPr>
              <w:t>Table 417.061</w:t>
            </w:r>
          </w:p>
        </w:tc>
        <w:tc>
          <w:tcPr>
            <w:tcW w:w="1399" w:type="dxa"/>
            <w:tcBorders>
              <w:top w:val="single" w:sz="12" w:space="0" w:color="auto"/>
              <w:left w:val="single" w:sz="12" w:space="0" w:color="auto"/>
              <w:bottom w:val="single" w:sz="12" w:space="0" w:color="auto"/>
              <w:right w:val="single" w:sz="6" w:space="0" w:color="FFFFFF"/>
            </w:tcBorders>
            <w:vAlign w:val="center"/>
          </w:tcPr>
          <w:p w14:paraId="1D015AF2" w14:textId="77777777" w:rsidR="00446088" w:rsidRPr="001F45C4" w:rsidRDefault="00446088" w:rsidP="00256ECA">
            <w:pPr>
              <w:jc w:val="center"/>
              <w:rPr>
                <w:b/>
                <w:lang w:val="en-AU"/>
              </w:rPr>
            </w:pPr>
            <w:r w:rsidRPr="001F45C4">
              <w:rPr>
                <w:b/>
                <w:lang w:val="en-AU"/>
              </w:rPr>
              <w:t>Sieve Size</w:t>
            </w:r>
          </w:p>
          <w:p w14:paraId="580AAB7D" w14:textId="77777777" w:rsidR="00446088" w:rsidRPr="001F45C4" w:rsidRDefault="00446088" w:rsidP="00256ECA">
            <w:pPr>
              <w:jc w:val="center"/>
              <w:rPr>
                <w:b/>
                <w:lang w:val="en-AU"/>
              </w:rPr>
            </w:pPr>
            <w:r w:rsidRPr="001F45C4">
              <w:rPr>
                <w:b/>
                <w:lang w:val="en-AU"/>
              </w:rPr>
              <w:t>AS (mm)</w:t>
            </w:r>
          </w:p>
        </w:tc>
        <w:tc>
          <w:tcPr>
            <w:tcW w:w="1701" w:type="dxa"/>
            <w:tcBorders>
              <w:top w:val="single" w:sz="12" w:space="0" w:color="auto"/>
              <w:left w:val="single" w:sz="7" w:space="0" w:color="000000"/>
              <w:bottom w:val="single" w:sz="12" w:space="0" w:color="auto"/>
              <w:right w:val="single" w:sz="6" w:space="0" w:color="FFFFFF"/>
            </w:tcBorders>
            <w:vAlign w:val="center"/>
          </w:tcPr>
          <w:p w14:paraId="2C61AF61" w14:textId="77777777" w:rsidR="00446088" w:rsidRPr="001F45C4" w:rsidRDefault="00446088" w:rsidP="00256ECA">
            <w:pPr>
              <w:jc w:val="center"/>
              <w:rPr>
                <w:b/>
                <w:lang w:val="en-AU"/>
              </w:rPr>
            </w:pPr>
            <w:r w:rsidRPr="001F45C4">
              <w:rPr>
                <w:b/>
                <w:lang w:val="en-AU"/>
              </w:rPr>
              <w:t>Grading Aim</w:t>
            </w:r>
          </w:p>
          <w:p w14:paraId="3A91F554" w14:textId="77777777" w:rsidR="00446088" w:rsidRPr="001F45C4" w:rsidRDefault="00446088" w:rsidP="00256ECA">
            <w:pPr>
              <w:jc w:val="center"/>
              <w:rPr>
                <w:b/>
                <w:lang w:val="en-AU"/>
              </w:rPr>
            </w:pPr>
            <w:r w:rsidRPr="001F45C4">
              <w:rPr>
                <w:b/>
                <w:lang w:val="en-AU"/>
              </w:rPr>
              <w:t>% Passing</w:t>
            </w:r>
          </w:p>
          <w:p w14:paraId="0C7D703C" w14:textId="77777777" w:rsidR="00446088" w:rsidRPr="001F45C4" w:rsidRDefault="00446088" w:rsidP="00256ECA">
            <w:pPr>
              <w:jc w:val="center"/>
              <w:rPr>
                <w:b/>
                <w:lang w:val="en-AU"/>
              </w:rPr>
            </w:pPr>
            <w:r w:rsidRPr="001F45C4">
              <w:rPr>
                <w:b/>
                <w:lang w:val="en-AU"/>
              </w:rPr>
              <w:t>(by mass)</w:t>
            </w:r>
          </w:p>
        </w:tc>
        <w:tc>
          <w:tcPr>
            <w:tcW w:w="1964" w:type="dxa"/>
            <w:tcBorders>
              <w:top w:val="single" w:sz="12" w:space="0" w:color="auto"/>
              <w:left w:val="single" w:sz="7" w:space="0" w:color="000000"/>
              <w:bottom w:val="single" w:sz="12" w:space="0" w:color="auto"/>
              <w:right w:val="single" w:sz="12" w:space="0" w:color="auto"/>
            </w:tcBorders>
            <w:vAlign w:val="center"/>
          </w:tcPr>
          <w:p w14:paraId="434763AC" w14:textId="77777777" w:rsidR="00446088" w:rsidRPr="001F45C4" w:rsidRDefault="00446088" w:rsidP="00256ECA">
            <w:pPr>
              <w:jc w:val="center"/>
              <w:rPr>
                <w:b/>
              </w:rPr>
            </w:pPr>
            <w:r w:rsidRPr="001F45C4">
              <w:rPr>
                <w:b/>
              </w:rPr>
              <w:t>Production Tolerance from Grading Aim</w:t>
            </w:r>
          </w:p>
          <w:p w14:paraId="24C787F7" w14:textId="77777777" w:rsidR="00446088" w:rsidRPr="001F45C4" w:rsidRDefault="00446088" w:rsidP="00256ECA">
            <w:pPr>
              <w:jc w:val="center"/>
              <w:rPr>
                <w:b/>
                <w:lang w:val="en-AU"/>
              </w:rPr>
            </w:pPr>
            <w:r w:rsidRPr="001F45C4">
              <w:rPr>
                <w:b/>
                <w:lang w:val="en-AU"/>
              </w:rPr>
              <w:t>% Passing (by mass)</w:t>
            </w:r>
          </w:p>
        </w:tc>
      </w:tr>
      <w:tr w:rsidR="00446088" w14:paraId="20CB1F6F" w14:textId="77777777" w:rsidTr="00446088">
        <w:trPr>
          <w:cantSplit/>
        </w:trPr>
        <w:tc>
          <w:tcPr>
            <w:tcW w:w="1568" w:type="dxa"/>
            <w:tcBorders>
              <w:bottom w:val="single" w:sz="6" w:space="0" w:color="FFFFFF"/>
              <w:right w:val="single" w:sz="6" w:space="0" w:color="FFFFFF"/>
            </w:tcBorders>
          </w:tcPr>
          <w:p w14:paraId="48CCD875" w14:textId="77777777" w:rsidR="00446088" w:rsidRPr="007F35F6" w:rsidRDefault="00446088" w:rsidP="00256ECA">
            <w:pPr>
              <w:tabs>
                <w:tab w:val="decimal" w:pos="227"/>
              </w:tabs>
              <w:jc w:val="right"/>
              <w:rPr>
                <w:lang w:val="en-AU"/>
              </w:rPr>
            </w:pPr>
          </w:p>
        </w:tc>
        <w:tc>
          <w:tcPr>
            <w:tcW w:w="1399" w:type="dxa"/>
            <w:tcBorders>
              <w:top w:val="single" w:sz="12" w:space="0" w:color="auto"/>
              <w:left w:val="single" w:sz="12" w:space="0" w:color="auto"/>
              <w:bottom w:val="single" w:sz="6" w:space="0" w:color="FFFFFF"/>
              <w:right w:val="single" w:sz="6" w:space="0" w:color="FFFFFF"/>
            </w:tcBorders>
          </w:tcPr>
          <w:p w14:paraId="7598CEA7" w14:textId="77777777" w:rsidR="00446088" w:rsidRPr="007F35F6" w:rsidRDefault="00446088" w:rsidP="00256ECA">
            <w:pPr>
              <w:tabs>
                <w:tab w:val="decimal" w:pos="227"/>
              </w:tabs>
              <w:jc w:val="right"/>
              <w:rPr>
                <w:lang w:val="en-AU"/>
              </w:rPr>
            </w:pPr>
            <w:r w:rsidRPr="007F35F6">
              <w:rPr>
                <w:lang w:val="en-AU"/>
              </w:rPr>
              <w:t>13.2</w:t>
            </w:r>
            <w:r w:rsidRPr="007F35F6">
              <w:rPr>
                <w:lang w:val="en-AU"/>
              </w:rPr>
              <w:tab/>
            </w:r>
          </w:p>
        </w:tc>
        <w:tc>
          <w:tcPr>
            <w:tcW w:w="1701" w:type="dxa"/>
            <w:tcBorders>
              <w:top w:val="single" w:sz="12" w:space="0" w:color="auto"/>
              <w:left w:val="single" w:sz="7" w:space="0" w:color="000000"/>
              <w:bottom w:val="single" w:sz="6" w:space="0" w:color="FFFFFF"/>
              <w:right w:val="single" w:sz="6" w:space="0" w:color="FFFFFF"/>
            </w:tcBorders>
          </w:tcPr>
          <w:p w14:paraId="023CC7D2" w14:textId="77777777" w:rsidR="00446088" w:rsidRDefault="00446088" w:rsidP="00256ECA">
            <w:pPr>
              <w:jc w:val="center"/>
              <w:rPr>
                <w:lang w:val="en-AU"/>
              </w:rPr>
            </w:pPr>
            <w:r>
              <w:rPr>
                <w:lang w:val="en-AU"/>
              </w:rPr>
              <w:t>100</w:t>
            </w:r>
          </w:p>
        </w:tc>
        <w:tc>
          <w:tcPr>
            <w:tcW w:w="1964" w:type="dxa"/>
            <w:tcBorders>
              <w:top w:val="single" w:sz="12" w:space="0" w:color="auto"/>
              <w:left w:val="single" w:sz="7" w:space="0" w:color="000000"/>
              <w:bottom w:val="single" w:sz="6" w:space="0" w:color="FFFFFF"/>
              <w:right w:val="single" w:sz="12" w:space="0" w:color="auto"/>
            </w:tcBorders>
          </w:tcPr>
          <w:p w14:paraId="70CA6D2C" w14:textId="77777777" w:rsidR="00446088" w:rsidRDefault="00446088" w:rsidP="00256ECA">
            <w:pPr>
              <w:jc w:val="center"/>
              <w:rPr>
                <w:lang w:val="en-AU"/>
              </w:rPr>
            </w:pPr>
            <w:r>
              <w:rPr>
                <w:lang w:val="en-AU"/>
              </w:rPr>
              <w:t>Nil</w:t>
            </w:r>
          </w:p>
        </w:tc>
      </w:tr>
      <w:tr w:rsidR="00446088" w14:paraId="030EEB45" w14:textId="77777777" w:rsidTr="00446088">
        <w:trPr>
          <w:cantSplit/>
        </w:trPr>
        <w:tc>
          <w:tcPr>
            <w:tcW w:w="1568" w:type="dxa"/>
            <w:tcBorders>
              <w:top w:val="single" w:sz="6" w:space="0" w:color="FFFFFF"/>
              <w:bottom w:val="single" w:sz="6" w:space="0" w:color="FFFFFF"/>
              <w:right w:val="single" w:sz="6" w:space="0" w:color="FFFFFF"/>
            </w:tcBorders>
          </w:tcPr>
          <w:p w14:paraId="2B81A5D7" w14:textId="77777777" w:rsidR="00446088" w:rsidRPr="007F35F6" w:rsidRDefault="00446088" w:rsidP="00256ECA">
            <w:pPr>
              <w:tabs>
                <w:tab w:val="decimal" w:pos="227"/>
              </w:tabs>
              <w:jc w:val="right"/>
              <w:rPr>
                <w:lang w:val="en-AU"/>
              </w:rPr>
            </w:pPr>
          </w:p>
        </w:tc>
        <w:tc>
          <w:tcPr>
            <w:tcW w:w="1399" w:type="dxa"/>
            <w:tcBorders>
              <w:top w:val="single" w:sz="6" w:space="0" w:color="FFFFFF"/>
              <w:left w:val="single" w:sz="12" w:space="0" w:color="auto"/>
              <w:bottom w:val="single" w:sz="6" w:space="0" w:color="FFFFFF"/>
              <w:right w:val="single" w:sz="6" w:space="0" w:color="FFFFFF"/>
            </w:tcBorders>
          </w:tcPr>
          <w:p w14:paraId="27C3EBA5" w14:textId="77777777" w:rsidR="00446088" w:rsidRPr="007F35F6" w:rsidRDefault="00446088" w:rsidP="00256ECA">
            <w:pPr>
              <w:tabs>
                <w:tab w:val="decimal" w:pos="227"/>
              </w:tabs>
              <w:jc w:val="right"/>
              <w:rPr>
                <w:lang w:val="en-AU"/>
              </w:rPr>
            </w:pPr>
            <w:r w:rsidRPr="007F35F6">
              <w:rPr>
                <w:lang w:val="en-AU"/>
              </w:rPr>
              <w:t>9.5</w:t>
            </w:r>
            <w:r w:rsidRPr="007F35F6">
              <w:rPr>
                <w:lang w:val="en-AU"/>
              </w:rPr>
              <w:tab/>
            </w:r>
          </w:p>
        </w:tc>
        <w:tc>
          <w:tcPr>
            <w:tcW w:w="1701" w:type="dxa"/>
            <w:tcBorders>
              <w:top w:val="single" w:sz="6" w:space="0" w:color="FFFFFF"/>
              <w:left w:val="single" w:sz="7" w:space="0" w:color="000000"/>
              <w:bottom w:val="single" w:sz="6" w:space="0" w:color="FFFFFF"/>
              <w:right w:val="single" w:sz="6" w:space="0" w:color="FFFFFF"/>
            </w:tcBorders>
          </w:tcPr>
          <w:p w14:paraId="2233D7CF" w14:textId="77777777" w:rsidR="00446088" w:rsidRDefault="00446088" w:rsidP="00256ECA">
            <w:pPr>
              <w:jc w:val="center"/>
              <w:rPr>
                <w:lang w:val="en-AU"/>
              </w:rPr>
            </w:pPr>
            <w:r>
              <w:rPr>
                <w:lang w:val="en-AU"/>
              </w:rPr>
              <w:t>90 – 100</w:t>
            </w:r>
          </w:p>
        </w:tc>
        <w:tc>
          <w:tcPr>
            <w:tcW w:w="1964" w:type="dxa"/>
            <w:tcBorders>
              <w:top w:val="single" w:sz="6" w:space="0" w:color="FFFFFF"/>
              <w:left w:val="single" w:sz="7" w:space="0" w:color="000000"/>
              <w:bottom w:val="single" w:sz="6" w:space="0" w:color="FFFFFF"/>
              <w:right w:val="single" w:sz="12" w:space="0" w:color="auto"/>
            </w:tcBorders>
          </w:tcPr>
          <w:p w14:paraId="39EAE2E3" w14:textId="77777777" w:rsidR="00446088" w:rsidRDefault="00446088" w:rsidP="00256ECA">
            <w:pPr>
              <w:jc w:val="center"/>
              <w:rPr>
                <w:lang w:val="en-AU"/>
              </w:rPr>
            </w:pPr>
            <w:r>
              <w:rPr>
                <w:lang w:val="en-AU"/>
              </w:rPr>
              <w:sym w:font="Symbol" w:char="F0B1"/>
            </w:r>
            <w:r>
              <w:rPr>
                <w:lang w:val="en-AU"/>
              </w:rPr>
              <w:t>6</w:t>
            </w:r>
          </w:p>
        </w:tc>
      </w:tr>
      <w:tr w:rsidR="00446088" w14:paraId="4C849FEE" w14:textId="77777777" w:rsidTr="00446088">
        <w:trPr>
          <w:cantSplit/>
        </w:trPr>
        <w:tc>
          <w:tcPr>
            <w:tcW w:w="1568" w:type="dxa"/>
            <w:tcBorders>
              <w:top w:val="single" w:sz="6" w:space="0" w:color="FFFFFF"/>
              <w:bottom w:val="single" w:sz="6" w:space="0" w:color="FFFFFF"/>
              <w:right w:val="single" w:sz="6" w:space="0" w:color="FFFFFF"/>
            </w:tcBorders>
          </w:tcPr>
          <w:p w14:paraId="6E647082" w14:textId="77777777" w:rsidR="00446088" w:rsidRPr="007F35F6" w:rsidRDefault="00446088" w:rsidP="00256ECA">
            <w:pPr>
              <w:tabs>
                <w:tab w:val="decimal" w:pos="227"/>
              </w:tabs>
              <w:jc w:val="right"/>
              <w:rPr>
                <w:lang w:val="en-AU"/>
              </w:rPr>
            </w:pPr>
          </w:p>
        </w:tc>
        <w:tc>
          <w:tcPr>
            <w:tcW w:w="1399" w:type="dxa"/>
            <w:tcBorders>
              <w:top w:val="single" w:sz="6" w:space="0" w:color="FFFFFF"/>
              <w:left w:val="single" w:sz="12" w:space="0" w:color="auto"/>
              <w:bottom w:val="single" w:sz="6" w:space="0" w:color="FFFFFF"/>
              <w:right w:val="single" w:sz="6" w:space="0" w:color="FFFFFF"/>
            </w:tcBorders>
          </w:tcPr>
          <w:p w14:paraId="1E3D1F25" w14:textId="77777777" w:rsidR="00446088" w:rsidRPr="007F35F6" w:rsidRDefault="00446088" w:rsidP="00256ECA">
            <w:pPr>
              <w:tabs>
                <w:tab w:val="decimal" w:pos="227"/>
              </w:tabs>
              <w:jc w:val="right"/>
              <w:rPr>
                <w:lang w:val="en-AU"/>
              </w:rPr>
            </w:pPr>
            <w:r w:rsidRPr="007F35F6">
              <w:rPr>
                <w:lang w:val="en-AU"/>
              </w:rPr>
              <w:t>6.7</w:t>
            </w:r>
            <w:r w:rsidRPr="007F35F6">
              <w:rPr>
                <w:lang w:val="en-AU"/>
              </w:rPr>
              <w:tab/>
            </w:r>
          </w:p>
        </w:tc>
        <w:tc>
          <w:tcPr>
            <w:tcW w:w="1701" w:type="dxa"/>
            <w:tcBorders>
              <w:top w:val="single" w:sz="6" w:space="0" w:color="FFFFFF"/>
              <w:left w:val="single" w:sz="7" w:space="0" w:color="000000"/>
              <w:bottom w:val="single" w:sz="6" w:space="0" w:color="FFFFFF"/>
              <w:right w:val="single" w:sz="6" w:space="0" w:color="FFFFFF"/>
            </w:tcBorders>
          </w:tcPr>
          <w:p w14:paraId="29E098D9" w14:textId="77777777" w:rsidR="00446088" w:rsidRDefault="00446088" w:rsidP="00256ECA">
            <w:pPr>
              <w:jc w:val="center"/>
              <w:rPr>
                <w:lang w:val="en-AU"/>
              </w:rPr>
            </w:pPr>
            <w:r>
              <w:rPr>
                <w:lang w:val="en-AU"/>
              </w:rPr>
              <w:t>50 - 65</w:t>
            </w:r>
          </w:p>
        </w:tc>
        <w:tc>
          <w:tcPr>
            <w:tcW w:w="1964" w:type="dxa"/>
            <w:tcBorders>
              <w:top w:val="single" w:sz="6" w:space="0" w:color="FFFFFF"/>
              <w:left w:val="single" w:sz="7" w:space="0" w:color="000000"/>
              <w:bottom w:val="single" w:sz="6" w:space="0" w:color="FFFFFF"/>
              <w:right w:val="single" w:sz="12" w:space="0" w:color="auto"/>
            </w:tcBorders>
          </w:tcPr>
          <w:p w14:paraId="28547E79" w14:textId="77777777" w:rsidR="00446088" w:rsidRDefault="00446088" w:rsidP="00256ECA">
            <w:pPr>
              <w:jc w:val="center"/>
              <w:rPr>
                <w:lang w:val="en-AU"/>
              </w:rPr>
            </w:pPr>
            <w:r>
              <w:rPr>
                <w:lang w:val="en-AU"/>
              </w:rPr>
              <w:sym w:font="Symbol" w:char="F0B1"/>
            </w:r>
            <w:r>
              <w:rPr>
                <w:lang w:val="en-AU"/>
              </w:rPr>
              <w:t>6</w:t>
            </w:r>
          </w:p>
        </w:tc>
      </w:tr>
      <w:tr w:rsidR="00446088" w14:paraId="62AF0D27" w14:textId="77777777" w:rsidTr="00446088">
        <w:trPr>
          <w:cantSplit/>
        </w:trPr>
        <w:tc>
          <w:tcPr>
            <w:tcW w:w="1568" w:type="dxa"/>
            <w:tcBorders>
              <w:top w:val="single" w:sz="6" w:space="0" w:color="FFFFFF"/>
              <w:bottom w:val="single" w:sz="6" w:space="0" w:color="FFFFFF"/>
              <w:right w:val="single" w:sz="6" w:space="0" w:color="FFFFFF"/>
            </w:tcBorders>
          </w:tcPr>
          <w:p w14:paraId="16F83B3D" w14:textId="77777777" w:rsidR="00446088" w:rsidRPr="007F35F6" w:rsidRDefault="00446088" w:rsidP="00256ECA">
            <w:pPr>
              <w:tabs>
                <w:tab w:val="decimal" w:pos="227"/>
              </w:tabs>
              <w:jc w:val="right"/>
              <w:rPr>
                <w:lang w:val="en-AU"/>
              </w:rPr>
            </w:pPr>
          </w:p>
        </w:tc>
        <w:tc>
          <w:tcPr>
            <w:tcW w:w="1399" w:type="dxa"/>
            <w:tcBorders>
              <w:top w:val="single" w:sz="6" w:space="0" w:color="FFFFFF"/>
              <w:left w:val="single" w:sz="12" w:space="0" w:color="auto"/>
              <w:bottom w:val="single" w:sz="6" w:space="0" w:color="FFFFFF"/>
              <w:right w:val="single" w:sz="6" w:space="0" w:color="FFFFFF"/>
            </w:tcBorders>
          </w:tcPr>
          <w:p w14:paraId="4C055B77" w14:textId="77777777" w:rsidR="00446088" w:rsidRPr="007F35F6" w:rsidRDefault="00446088" w:rsidP="00256ECA">
            <w:pPr>
              <w:tabs>
                <w:tab w:val="decimal" w:pos="227"/>
              </w:tabs>
              <w:jc w:val="right"/>
              <w:rPr>
                <w:lang w:val="en-AU"/>
              </w:rPr>
            </w:pPr>
            <w:r w:rsidRPr="007F35F6">
              <w:rPr>
                <w:lang w:val="en-AU"/>
              </w:rPr>
              <w:t>4.75</w:t>
            </w:r>
            <w:r w:rsidRPr="007F35F6">
              <w:rPr>
                <w:lang w:val="en-AU"/>
              </w:rPr>
              <w:tab/>
            </w:r>
          </w:p>
        </w:tc>
        <w:tc>
          <w:tcPr>
            <w:tcW w:w="1701" w:type="dxa"/>
            <w:tcBorders>
              <w:top w:val="single" w:sz="6" w:space="0" w:color="FFFFFF"/>
              <w:left w:val="single" w:sz="7" w:space="0" w:color="000000"/>
              <w:bottom w:val="single" w:sz="6" w:space="0" w:color="FFFFFF"/>
              <w:right w:val="single" w:sz="6" w:space="0" w:color="FFFFFF"/>
            </w:tcBorders>
          </w:tcPr>
          <w:p w14:paraId="0492C8F0" w14:textId="77777777" w:rsidR="00446088" w:rsidRDefault="00446088" w:rsidP="00256ECA">
            <w:pPr>
              <w:jc w:val="center"/>
              <w:rPr>
                <w:lang w:val="en-AU"/>
              </w:rPr>
            </w:pPr>
            <w:r>
              <w:rPr>
                <w:lang w:val="en-AU"/>
              </w:rPr>
              <w:t>25 – 35</w:t>
            </w:r>
          </w:p>
        </w:tc>
        <w:tc>
          <w:tcPr>
            <w:tcW w:w="1964" w:type="dxa"/>
            <w:tcBorders>
              <w:top w:val="single" w:sz="6" w:space="0" w:color="FFFFFF"/>
              <w:left w:val="single" w:sz="7" w:space="0" w:color="000000"/>
              <w:bottom w:val="single" w:sz="6" w:space="0" w:color="FFFFFF"/>
              <w:right w:val="single" w:sz="12" w:space="0" w:color="auto"/>
            </w:tcBorders>
          </w:tcPr>
          <w:p w14:paraId="0E335776" w14:textId="77777777" w:rsidR="00446088" w:rsidRDefault="00446088" w:rsidP="00256ECA">
            <w:pPr>
              <w:jc w:val="center"/>
              <w:rPr>
                <w:lang w:val="en-AU"/>
              </w:rPr>
            </w:pPr>
            <w:r>
              <w:rPr>
                <w:lang w:val="en-AU"/>
              </w:rPr>
              <w:sym w:font="Symbol" w:char="F0B1"/>
            </w:r>
            <w:r>
              <w:rPr>
                <w:lang w:val="en-AU"/>
              </w:rPr>
              <w:t>5</w:t>
            </w:r>
          </w:p>
        </w:tc>
      </w:tr>
      <w:tr w:rsidR="00446088" w14:paraId="718244BB" w14:textId="77777777" w:rsidTr="00446088">
        <w:trPr>
          <w:cantSplit/>
        </w:trPr>
        <w:tc>
          <w:tcPr>
            <w:tcW w:w="1568" w:type="dxa"/>
            <w:tcBorders>
              <w:top w:val="single" w:sz="6" w:space="0" w:color="FFFFFF"/>
              <w:bottom w:val="single" w:sz="6" w:space="0" w:color="FFFFFF"/>
              <w:right w:val="single" w:sz="6" w:space="0" w:color="FFFFFF"/>
            </w:tcBorders>
          </w:tcPr>
          <w:p w14:paraId="70986F5A" w14:textId="77777777" w:rsidR="00446088" w:rsidRPr="007F35F6" w:rsidRDefault="00446088" w:rsidP="00256ECA">
            <w:pPr>
              <w:tabs>
                <w:tab w:val="decimal" w:pos="227"/>
              </w:tabs>
              <w:jc w:val="right"/>
              <w:rPr>
                <w:lang w:val="en-AU"/>
              </w:rPr>
            </w:pPr>
          </w:p>
        </w:tc>
        <w:tc>
          <w:tcPr>
            <w:tcW w:w="1399" w:type="dxa"/>
            <w:tcBorders>
              <w:top w:val="single" w:sz="6" w:space="0" w:color="FFFFFF"/>
              <w:left w:val="single" w:sz="12" w:space="0" w:color="auto"/>
              <w:bottom w:val="single" w:sz="6" w:space="0" w:color="FFFFFF"/>
              <w:right w:val="single" w:sz="6" w:space="0" w:color="FFFFFF"/>
            </w:tcBorders>
          </w:tcPr>
          <w:p w14:paraId="22F4B5E6" w14:textId="77777777" w:rsidR="00446088" w:rsidRPr="007F35F6" w:rsidRDefault="00446088" w:rsidP="00256ECA">
            <w:pPr>
              <w:tabs>
                <w:tab w:val="decimal" w:pos="227"/>
              </w:tabs>
              <w:jc w:val="right"/>
              <w:rPr>
                <w:lang w:val="en-AU"/>
              </w:rPr>
            </w:pPr>
            <w:r w:rsidRPr="007F35F6">
              <w:rPr>
                <w:lang w:val="en-AU"/>
              </w:rPr>
              <w:t>2.36</w:t>
            </w:r>
            <w:r w:rsidRPr="007F35F6">
              <w:rPr>
                <w:lang w:val="en-AU"/>
              </w:rPr>
              <w:tab/>
            </w:r>
          </w:p>
        </w:tc>
        <w:tc>
          <w:tcPr>
            <w:tcW w:w="1701" w:type="dxa"/>
            <w:tcBorders>
              <w:top w:val="single" w:sz="6" w:space="0" w:color="FFFFFF"/>
              <w:left w:val="single" w:sz="7" w:space="0" w:color="000000"/>
              <w:bottom w:val="single" w:sz="6" w:space="0" w:color="FFFFFF"/>
              <w:right w:val="single" w:sz="6" w:space="0" w:color="FFFFFF"/>
            </w:tcBorders>
          </w:tcPr>
          <w:p w14:paraId="20F3091B" w14:textId="77777777" w:rsidR="00446088" w:rsidRDefault="00446088" w:rsidP="00256ECA">
            <w:pPr>
              <w:jc w:val="center"/>
              <w:rPr>
                <w:lang w:val="en-AU"/>
              </w:rPr>
            </w:pPr>
            <w:r>
              <w:rPr>
                <w:lang w:val="en-AU"/>
              </w:rPr>
              <w:t>10 – 20</w:t>
            </w:r>
          </w:p>
        </w:tc>
        <w:tc>
          <w:tcPr>
            <w:tcW w:w="1964" w:type="dxa"/>
            <w:tcBorders>
              <w:top w:val="single" w:sz="6" w:space="0" w:color="FFFFFF"/>
              <w:left w:val="single" w:sz="7" w:space="0" w:color="000000"/>
              <w:bottom w:val="single" w:sz="6" w:space="0" w:color="FFFFFF"/>
              <w:right w:val="single" w:sz="12" w:space="0" w:color="auto"/>
            </w:tcBorders>
          </w:tcPr>
          <w:p w14:paraId="26B10E67" w14:textId="77777777" w:rsidR="00446088" w:rsidRDefault="00446088" w:rsidP="00256ECA">
            <w:pPr>
              <w:jc w:val="center"/>
              <w:rPr>
                <w:lang w:val="en-AU"/>
              </w:rPr>
            </w:pPr>
            <w:r>
              <w:rPr>
                <w:lang w:val="en-AU"/>
              </w:rPr>
              <w:sym w:font="Symbol" w:char="F0B1"/>
            </w:r>
            <w:r>
              <w:rPr>
                <w:lang w:val="en-AU"/>
              </w:rPr>
              <w:t>5</w:t>
            </w:r>
          </w:p>
        </w:tc>
      </w:tr>
      <w:tr w:rsidR="00446088" w14:paraId="1476184E" w14:textId="77777777" w:rsidTr="00446088">
        <w:trPr>
          <w:cantSplit/>
        </w:trPr>
        <w:tc>
          <w:tcPr>
            <w:tcW w:w="1568" w:type="dxa"/>
            <w:tcBorders>
              <w:top w:val="single" w:sz="6" w:space="0" w:color="FFFFFF"/>
              <w:bottom w:val="single" w:sz="6" w:space="0" w:color="FFFFFF"/>
              <w:right w:val="single" w:sz="6" w:space="0" w:color="FFFFFF"/>
            </w:tcBorders>
          </w:tcPr>
          <w:p w14:paraId="2D93A66E" w14:textId="77777777" w:rsidR="00446088" w:rsidRPr="007F35F6" w:rsidRDefault="00446088" w:rsidP="00256ECA">
            <w:pPr>
              <w:tabs>
                <w:tab w:val="decimal" w:pos="227"/>
              </w:tabs>
              <w:jc w:val="right"/>
              <w:rPr>
                <w:lang w:val="en-AU"/>
              </w:rPr>
            </w:pPr>
          </w:p>
        </w:tc>
        <w:tc>
          <w:tcPr>
            <w:tcW w:w="1399" w:type="dxa"/>
            <w:tcBorders>
              <w:top w:val="single" w:sz="6" w:space="0" w:color="FFFFFF"/>
              <w:left w:val="single" w:sz="12" w:space="0" w:color="auto"/>
              <w:bottom w:val="single" w:sz="6" w:space="0" w:color="FFFFFF"/>
              <w:right w:val="single" w:sz="6" w:space="0" w:color="FFFFFF"/>
            </w:tcBorders>
          </w:tcPr>
          <w:p w14:paraId="1464A467" w14:textId="77777777" w:rsidR="00446088" w:rsidRPr="007F35F6" w:rsidRDefault="00446088" w:rsidP="00256ECA">
            <w:pPr>
              <w:tabs>
                <w:tab w:val="decimal" w:pos="227"/>
              </w:tabs>
              <w:jc w:val="right"/>
              <w:rPr>
                <w:lang w:val="en-AU"/>
              </w:rPr>
            </w:pPr>
            <w:r w:rsidRPr="007F35F6">
              <w:rPr>
                <w:lang w:val="en-AU"/>
              </w:rPr>
              <w:t>1.18</w:t>
            </w:r>
            <w:r w:rsidRPr="007F35F6">
              <w:rPr>
                <w:lang w:val="en-AU"/>
              </w:rPr>
              <w:tab/>
            </w:r>
          </w:p>
        </w:tc>
        <w:tc>
          <w:tcPr>
            <w:tcW w:w="1701" w:type="dxa"/>
            <w:tcBorders>
              <w:top w:val="single" w:sz="6" w:space="0" w:color="FFFFFF"/>
              <w:left w:val="single" w:sz="7" w:space="0" w:color="000000"/>
              <w:bottom w:val="single" w:sz="6" w:space="0" w:color="FFFFFF"/>
              <w:right w:val="single" w:sz="6" w:space="0" w:color="FFFFFF"/>
            </w:tcBorders>
          </w:tcPr>
          <w:p w14:paraId="7403C01B" w14:textId="77777777" w:rsidR="00446088" w:rsidRDefault="00446088" w:rsidP="00256ECA">
            <w:pPr>
              <w:jc w:val="center"/>
              <w:rPr>
                <w:lang w:val="en-AU"/>
              </w:rPr>
            </w:pPr>
            <w:r>
              <w:rPr>
                <w:lang w:val="en-AU"/>
              </w:rPr>
              <w:t>6 - 12</w:t>
            </w:r>
          </w:p>
        </w:tc>
        <w:tc>
          <w:tcPr>
            <w:tcW w:w="1964" w:type="dxa"/>
            <w:tcBorders>
              <w:top w:val="single" w:sz="6" w:space="0" w:color="FFFFFF"/>
              <w:left w:val="single" w:sz="7" w:space="0" w:color="000000"/>
              <w:bottom w:val="single" w:sz="6" w:space="0" w:color="FFFFFF"/>
              <w:right w:val="single" w:sz="12" w:space="0" w:color="auto"/>
            </w:tcBorders>
          </w:tcPr>
          <w:p w14:paraId="4EEDD0F5" w14:textId="77777777" w:rsidR="00446088" w:rsidRDefault="00446088" w:rsidP="00256ECA">
            <w:pPr>
              <w:jc w:val="center"/>
              <w:rPr>
                <w:lang w:val="en-AU"/>
              </w:rPr>
            </w:pPr>
            <w:r>
              <w:rPr>
                <w:lang w:val="en-AU"/>
              </w:rPr>
              <w:sym w:font="Symbol" w:char="F0B1"/>
            </w:r>
            <w:r>
              <w:rPr>
                <w:lang w:val="en-AU"/>
              </w:rPr>
              <w:t>5</w:t>
            </w:r>
          </w:p>
        </w:tc>
      </w:tr>
      <w:tr w:rsidR="00446088" w14:paraId="7C1D31A3" w14:textId="77777777" w:rsidTr="00446088">
        <w:trPr>
          <w:cantSplit/>
        </w:trPr>
        <w:tc>
          <w:tcPr>
            <w:tcW w:w="1568" w:type="dxa"/>
            <w:tcBorders>
              <w:top w:val="single" w:sz="6" w:space="0" w:color="FFFFFF"/>
              <w:bottom w:val="single" w:sz="6" w:space="0" w:color="FFFFFF"/>
              <w:right w:val="single" w:sz="6" w:space="0" w:color="FFFFFF"/>
            </w:tcBorders>
          </w:tcPr>
          <w:p w14:paraId="118F1EE3" w14:textId="77777777" w:rsidR="00446088" w:rsidRPr="007F35F6" w:rsidRDefault="00446088" w:rsidP="00256ECA">
            <w:pPr>
              <w:tabs>
                <w:tab w:val="decimal" w:pos="227"/>
              </w:tabs>
              <w:jc w:val="right"/>
              <w:rPr>
                <w:lang w:val="en-AU"/>
              </w:rPr>
            </w:pPr>
          </w:p>
        </w:tc>
        <w:tc>
          <w:tcPr>
            <w:tcW w:w="1399" w:type="dxa"/>
            <w:tcBorders>
              <w:top w:val="single" w:sz="6" w:space="0" w:color="FFFFFF"/>
              <w:left w:val="single" w:sz="12" w:space="0" w:color="auto"/>
              <w:bottom w:val="single" w:sz="6" w:space="0" w:color="FFFFFF"/>
              <w:right w:val="single" w:sz="6" w:space="0" w:color="FFFFFF"/>
            </w:tcBorders>
          </w:tcPr>
          <w:p w14:paraId="3AA0A6EF" w14:textId="77777777" w:rsidR="00446088" w:rsidRPr="007F35F6" w:rsidRDefault="00446088" w:rsidP="00256ECA">
            <w:pPr>
              <w:tabs>
                <w:tab w:val="decimal" w:pos="227"/>
              </w:tabs>
              <w:jc w:val="right"/>
              <w:rPr>
                <w:lang w:val="en-AU"/>
              </w:rPr>
            </w:pPr>
            <w:r w:rsidRPr="007F35F6">
              <w:rPr>
                <w:lang w:val="en-AU"/>
              </w:rPr>
              <w:t>0.600</w:t>
            </w:r>
            <w:r w:rsidRPr="007F35F6">
              <w:rPr>
                <w:lang w:val="en-AU"/>
              </w:rPr>
              <w:tab/>
            </w:r>
          </w:p>
        </w:tc>
        <w:tc>
          <w:tcPr>
            <w:tcW w:w="1701" w:type="dxa"/>
            <w:tcBorders>
              <w:top w:val="single" w:sz="6" w:space="0" w:color="FFFFFF"/>
              <w:left w:val="single" w:sz="7" w:space="0" w:color="000000"/>
              <w:bottom w:val="single" w:sz="6" w:space="0" w:color="FFFFFF"/>
              <w:right w:val="single" w:sz="6" w:space="0" w:color="FFFFFF"/>
            </w:tcBorders>
          </w:tcPr>
          <w:p w14:paraId="4030E8B4" w14:textId="77777777" w:rsidR="00446088" w:rsidRDefault="00446088" w:rsidP="00256ECA">
            <w:pPr>
              <w:jc w:val="center"/>
              <w:rPr>
                <w:lang w:val="en-AU"/>
              </w:rPr>
            </w:pPr>
            <w:r>
              <w:rPr>
                <w:lang w:val="en-AU"/>
              </w:rPr>
              <w:t>5 - 10</w:t>
            </w:r>
          </w:p>
        </w:tc>
        <w:tc>
          <w:tcPr>
            <w:tcW w:w="1964" w:type="dxa"/>
            <w:tcBorders>
              <w:top w:val="single" w:sz="6" w:space="0" w:color="FFFFFF"/>
              <w:left w:val="single" w:sz="7" w:space="0" w:color="000000"/>
              <w:bottom w:val="single" w:sz="6" w:space="0" w:color="FFFFFF"/>
              <w:right w:val="single" w:sz="12" w:space="0" w:color="auto"/>
            </w:tcBorders>
          </w:tcPr>
          <w:p w14:paraId="2F5C1EFA" w14:textId="77777777" w:rsidR="00446088" w:rsidRDefault="00446088" w:rsidP="00256ECA">
            <w:pPr>
              <w:jc w:val="center"/>
              <w:rPr>
                <w:lang w:val="en-AU"/>
              </w:rPr>
            </w:pPr>
            <w:r>
              <w:rPr>
                <w:lang w:val="en-AU"/>
              </w:rPr>
              <w:sym w:font="Symbol" w:char="F0B1"/>
            </w:r>
            <w:r>
              <w:rPr>
                <w:lang w:val="en-AU"/>
              </w:rPr>
              <w:t>5</w:t>
            </w:r>
          </w:p>
        </w:tc>
      </w:tr>
      <w:tr w:rsidR="00446088" w14:paraId="58F278EF" w14:textId="77777777" w:rsidTr="00446088">
        <w:trPr>
          <w:cantSplit/>
        </w:trPr>
        <w:tc>
          <w:tcPr>
            <w:tcW w:w="1568" w:type="dxa"/>
            <w:tcBorders>
              <w:top w:val="single" w:sz="6" w:space="0" w:color="FFFFFF"/>
              <w:bottom w:val="single" w:sz="6" w:space="0" w:color="FFFFFF"/>
              <w:right w:val="single" w:sz="6" w:space="0" w:color="FFFFFF"/>
            </w:tcBorders>
          </w:tcPr>
          <w:p w14:paraId="07062BBC" w14:textId="77777777" w:rsidR="00446088" w:rsidRPr="007F35F6" w:rsidRDefault="00446088" w:rsidP="00256ECA">
            <w:pPr>
              <w:tabs>
                <w:tab w:val="decimal" w:pos="227"/>
              </w:tabs>
              <w:jc w:val="right"/>
              <w:rPr>
                <w:lang w:val="en-AU"/>
              </w:rPr>
            </w:pPr>
          </w:p>
        </w:tc>
        <w:tc>
          <w:tcPr>
            <w:tcW w:w="1399" w:type="dxa"/>
            <w:tcBorders>
              <w:top w:val="single" w:sz="6" w:space="0" w:color="FFFFFF"/>
              <w:left w:val="single" w:sz="12" w:space="0" w:color="auto"/>
              <w:bottom w:val="single" w:sz="6" w:space="0" w:color="FFFFFF"/>
              <w:right w:val="single" w:sz="6" w:space="0" w:color="FFFFFF"/>
            </w:tcBorders>
          </w:tcPr>
          <w:p w14:paraId="12C885F8" w14:textId="77777777" w:rsidR="00446088" w:rsidRPr="007F35F6" w:rsidRDefault="00446088" w:rsidP="00256ECA">
            <w:pPr>
              <w:tabs>
                <w:tab w:val="decimal" w:pos="227"/>
              </w:tabs>
              <w:jc w:val="right"/>
              <w:rPr>
                <w:lang w:val="en-AU"/>
              </w:rPr>
            </w:pPr>
            <w:r w:rsidRPr="007F35F6">
              <w:rPr>
                <w:lang w:val="en-AU"/>
              </w:rPr>
              <w:t>0.300</w:t>
            </w:r>
            <w:r w:rsidRPr="007F35F6">
              <w:rPr>
                <w:lang w:val="en-AU"/>
              </w:rPr>
              <w:tab/>
            </w:r>
          </w:p>
        </w:tc>
        <w:tc>
          <w:tcPr>
            <w:tcW w:w="1701" w:type="dxa"/>
            <w:tcBorders>
              <w:top w:val="single" w:sz="6" w:space="0" w:color="FFFFFF"/>
              <w:left w:val="single" w:sz="7" w:space="0" w:color="000000"/>
              <w:bottom w:val="single" w:sz="6" w:space="0" w:color="FFFFFF"/>
              <w:right w:val="single" w:sz="6" w:space="0" w:color="FFFFFF"/>
            </w:tcBorders>
          </w:tcPr>
          <w:p w14:paraId="31C83730" w14:textId="77777777" w:rsidR="00446088" w:rsidRDefault="00446088" w:rsidP="00256ECA">
            <w:pPr>
              <w:jc w:val="center"/>
              <w:rPr>
                <w:lang w:val="en-AU"/>
              </w:rPr>
            </w:pPr>
            <w:r>
              <w:rPr>
                <w:lang w:val="en-AU"/>
              </w:rPr>
              <w:t>4 – 8</w:t>
            </w:r>
          </w:p>
        </w:tc>
        <w:tc>
          <w:tcPr>
            <w:tcW w:w="1964" w:type="dxa"/>
            <w:tcBorders>
              <w:top w:val="single" w:sz="6" w:space="0" w:color="FFFFFF"/>
              <w:left w:val="single" w:sz="7" w:space="0" w:color="000000"/>
              <w:bottom w:val="single" w:sz="6" w:space="0" w:color="FFFFFF"/>
              <w:right w:val="single" w:sz="12" w:space="0" w:color="auto"/>
            </w:tcBorders>
          </w:tcPr>
          <w:p w14:paraId="68F9F9D6" w14:textId="77777777" w:rsidR="00446088" w:rsidRDefault="00446088" w:rsidP="00256ECA">
            <w:pPr>
              <w:jc w:val="center"/>
              <w:rPr>
                <w:lang w:val="en-AU"/>
              </w:rPr>
            </w:pPr>
            <w:r>
              <w:rPr>
                <w:lang w:val="en-AU"/>
              </w:rPr>
              <w:sym w:font="Symbol" w:char="F0B1"/>
            </w:r>
            <w:r>
              <w:rPr>
                <w:lang w:val="en-AU"/>
              </w:rPr>
              <w:t>3</w:t>
            </w:r>
          </w:p>
        </w:tc>
      </w:tr>
      <w:tr w:rsidR="00446088" w14:paraId="18C5BB8B" w14:textId="77777777" w:rsidTr="00446088">
        <w:trPr>
          <w:cantSplit/>
        </w:trPr>
        <w:tc>
          <w:tcPr>
            <w:tcW w:w="1568" w:type="dxa"/>
            <w:tcBorders>
              <w:top w:val="single" w:sz="6" w:space="0" w:color="FFFFFF"/>
              <w:bottom w:val="single" w:sz="6" w:space="0" w:color="FFFFFF"/>
              <w:right w:val="single" w:sz="6" w:space="0" w:color="FFFFFF"/>
            </w:tcBorders>
          </w:tcPr>
          <w:p w14:paraId="69163BC5" w14:textId="77777777" w:rsidR="00446088" w:rsidRPr="007F35F6" w:rsidRDefault="00446088" w:rsidP="00256ECA">
            <w:pPr>
              <w:tabs>
                <w:tab w:val="decimal" w:pos="227"/>
              </w:tabs>
              <w:jc w:val="right"/>
              <w:rPr>
                <w:lang w:val="en-AU"/>
              </w:rPr>
            </w:pPr>
          </w:p>
        </w:tc>
        <w:tc>
          <w:tcPr>
            <w:tcW w:w="1399" w:type="dxa"/>
            <w:tcBorders>
              <w:top w:val="single" w:sz="6" w:space="0" w:color="FFFFFF"/>
              <w:left w:val="single" w:sz="12" w:space="0" w:color="auto"/>
              <w:bottom w:val="single" w:sz="6" w:space="0" w:color="FFFFFF"/>
              <w:right w:val="single" w:sz="6" w:space="0" w:color="FFFFFF"/>
            </w:tcBorders>
          </w:tcPr>
          <w:p w14:paraId="14FFD155" w14:textId="77777777" w:rsidR="00446088" w:rsidRPr="007F35F6" w:rsidRDefault="00446088" w:rsidP="00256ECA">
            <w:pPr>
              <w:tabs>
                <w:tab w:val="decimal" w:pos="227"/>
              </w:tabs>
              <w:jc w:val="right"/>
              <w:rPr>
                <w:lang w:val="en-AU"/>
              </w:rPr>
            </w:pPr>
            <w:r w:rsidRPr="007F35F6">
              <w:rPr>
                <w:lang w:val="en-AU"/>
              </w:rPr>
              <w:t>0.150</w:t>
            </w:r>
            <w:r w:rsidRPr="007F35F6">
              <w:rPr>
                <w:lang w:val="en-AU"/>
              </w:rPr>
              <w:tab/>
            </w:r>
          </w:p>
        </w:tc>
        <w:tc>
          <w:tcPr>
            <w:tcW w:w="1701" w:type="dxa"/>
            <w:tcBorders>
              <w:top w:val="single" w:sz="6" w:space="0" w:color="FFFFFF"/>
              <w:left w:val="single" w:sz="7" w:space="0" w:color="000000"/>
              <w:bottom w:val="single" w:sz="6" w:space="0" w:color="FFFFFF"/>
              <w:right w:val="single" w:sz="6" w:space="0" w:color="FFFFFF"/>
            </w:tcBorders>
          </w:tcPr>
          <w:p w14:paraId="350E5869" w14:textId="77777777" w:rsidR="00446088" w:rsidRDefault="00446088" w:rsidP="00256ECA">
            <w:pPr>
              <w:jc w:val="center"/>
              <w:rPr>
                <w:lang w:val="en-AU"/>
              </w:rPr>
            </w:pPr>
            <w:r>
              <w:rPr>
                <w:lang w:val="en-AU"/>
              </w:rPr>
              <w:t>3 – 6</w:t>
            </w:r>
          </w:p>
        </w:tc>
        <w:tc>
          <w:tcPr>
            <w:tcW w:w="1964" w:type="dxa"/>
            <w:tcBorders>
              <w:top w:val="single" w:sz="6" w:space="0" w:color="FFFFFF"/>
              <w:left w:val="single" w:sz="7" w:space="0" w:color="000000"/>
              <w:bottom w:val="single" w:sz="6" w:space="0" w:color="FFFFFF"/>
              <w:right w:val="single" w:sz="12" w:space="0" w:color="auto"/>
            </w:tcBorders>
          </w:tcPr>
          <w:p w14:paraId="02628645" w14:textId="77777777" w:rsidR="00446088" w:rsidRDefault="00446088" w:rsidP="00256ECA">
            <w:pPr>
              <w:jc w:val="center"/>
              <w:rPr>
                <w:lang w:val="en-AU"/>
              </w:rPr>
            </w:pPr>
            <w:r>
              <w:rPr>
                <w:lang w:val="en-AU"/>
              </w:rPr>
              <w:sym w:font="Symbol" w:char="F0B1"/>
            </w:r>
            <w:r>
              <w:rPr>
                <w:lang w:val="en-AU"/>
              </w:rPr>
              <w:t>3</w:t>
            </w:r>
          </w:p>
        </w:tc>
      </w:tr>
      <w:tr w:rsidR="00446088" w14:paraId="7DE68457" w14:textId="77777777" w:rsidTr="00446088">
        <w:trPr>
          <w:cantSplit/>
        </w:trPr>
        <w:tc>
          <w:tcPr>
            <w:tcW w:w="1568" w:type="dxa"/>
            <w:tcBorders>
              <w:top w:val="single" w:sz="6" w:space="0" w:color="FFFFFF"/>
              <w:right w:val="single" w:sz="6" w:space="0" w:color="FFFFFF"/>
            </w:tcBorders>
          </w:tcPr>
          <w:p w14:paraId="74B878FF" w14:textId="77777777" w:rsidR="00446088" w:rsidRPr="007F35F6" w:rsidRDefault="00446088" w:rsidP="00256ECA">
            <w:pPr>
              <w:tabs>
                <w:tab w:val="decimal" w:pos="227"/>
              </w:tabs>
              <w:jc w:val="right"/>
              <w:rPr>
                <w:lang w:val="en-AU"/>
              </w:rPr>
            </w:pPr>
          </w:p>
        </w:tc>
        <w:tc>
          <w:tcPr>
            <w:tcW w:w="1399" w:type="dxa"/>
            <w:tcBorders>
              <w:top w:val="single" w:sz="6" w:space="0" w:color="FFFFFF"/>
              <w:left w:val="single" w:sz="12" w:space="0" w:color="auto"/>
              <w:bottom w:val="single" w:sz="12" w:space="0" w:color="auto"/>
              <w:right w:val="single" w:sz="6" w:space="0" w:color="FFFFFF"/>
            </w:tcBorders>
          </w:tcPr>
          <w:p w14:paraId="6406B3A3" w14:textId="77777777" w:rsidR="00446088" w:rsidRPr="007F35F6" w:rsidRDefault="00446088" w:rsidP="00256ECA">
            <w:pPr>
              <w:tabs>
                <w:tab w:val="decimal" w:pos="227"/>
              </w:tabs>
              <w:jc w:val="right"/>
              <w:rPr>
                <w:lang w:val="en-AU"/>
              </w:rPr>
            </w:pPr>
            <w:r w:rsidRPr="007F35F6">
              <w:rPr>
                <w:lang w:val="en-AU"/>
              </w:rPr>
              <w:t>0.075</w:t>
            </w:r>
            <w:r w:rsidRPr="007F35F6">
              <w:rPr>
                <w:lang w:val="en-AU"/>
              </w:rPr>
              <w:tab/>
            </w:r>
          </w:p>
        </w:tc>
        <w:tc>
          <w:tcPr>
            <w:tcW w:w="1701" w:type="dxa"/>
            <w:tcBorders>
              <w:top w:val="single" w:sz="6" w:space="0" w:color="FFFFFF"/>
              <w:left w:val="single" w:sz="7" w:space="0" w:color="000000"/>
              <w:bottom w:val="single" w:sz="12" w:space="0" w:color="auto"/>
              <w:right w:val="single" w:sz="6" w:space="0" w:color="FFFFFF"/>
            </w:tcBorders>
          </w:tcPr>
          <w:p w14:paraId="70266EB8" w14:textId="77777777" w:rsidR="00446088" w:rsidRDefault="00446088" w:rsidP="00256ECA">
            <w:pPr>
              <w:jc w:val="center"/>
              <w:rPr>
                <w:lang w:val="en-AU"/>
              </w:rPr>
            </w:pPr>
            <w:r>
              <w:rPr>
                <w:lang w:val="en-AU"/>
              </w:rPr>
              <w:t>3 – 5</w:t>
            </w:r>
          </w:p>
        </w:tc>
        <w:tc>
          <w:tcPr>
            <w:tcW w:w="1964" w:type="dxa"/>
            <w:tcBorders>
              <w:top w:val="single" w:sz="6" w:space="0" w:color="FFFFFF"/>
              <w:left w:val="single" w:sz="7" w:space="0" w:color="000000"/>
              <w:bottom w:val="single" w:sz="12" w:space="0" w:color="auto"/>
              <w:right w:val="single" w:sz="12" w:space="0" w:color="auto"/>
            </w:tcBorders>
          </w:tcPr>
          <w:p w14:paraId="0D728860" w14:textId="77777777" w:rsidR="00446088" w:rsidRDefault="00446088" w:rsidP="00256ECA">
            <w:pPr>
              <w:jc w:val="center"/>
              <w:rPr>
                <w:lang w:val="en-AU"/>
              </w:rPr>
            </w:pPr>
            <w:r>
              <w:rPr>
                <w:lang w:val="en-AU"/>
              </w:rPr>
              <w:sym w:font="Symbol" w:char="F0B1"/>
            </w:r>
            <w:r>
              <w:rPr>
                <w:lang w:val="en-AU"/>
              </w:rPr>
              <w:t>1.0</w:t>
            </w:r>
          </w:p>
        </w:tc>
      </w:tr>
    </w:tbl>
    <w:p w14:paraId="0F700A06" w14:textId="77777777" w:rsidR="004705F1" w:rsidRDefault="004705F1" w:rsidP="00256ECA">
      <w:pPr>
        <w:spacing w:line="160" w:lineRule="exact"/>
        <w:rPr>
          <w:lang w:val="en-AU"/>
        </w:rPr>
      </w:pPr>
    </w:p>
    <w:p w14:paraId="583D4AF1" w14:textId="77777777" w:rsidR="00A62A2F" w:rsidRDefault="00A62A2F" w:rsidP="00256ECA">
      <w:pPr>
        <w:spacing w:line="160" w:lineRule="exact"/>
        <w:rPr>
          <w:lang w:val="en-AU"/>
        </w:rPr>
      </w:pPr>
    </w:p>
    <w:p w14:paraId="4270D352" w14:textId="77777777" w:rsidR="004705F1" w:rsidRDefault="004705F1" w:rsidP="00EC372C">
      <w:pPr>
        <w:pStyle w:val="Heading5SS"/>
      </w:pPr>
      <w:r>
        <w:t>(b)</w:t>
      </w:r>
      <w:r>
        <w:tab/>
        <w:t>Added Filler</w:t>
      </w:r>
    </w:p>
    <w:p w14:paraId="7D67CD79" w14:textId="77777777" w:rsidR="004705F1" w:rsidRPr="00EC372C" w:rsidRDefault="004705F1" w:rsidP="00FA6429">
      <w:pPr>
        <w:tabs>
          <w:tab w:val="left" w:pos="454"/>
        </w:tabs>
        <w:spacing w:before="120"/>
        <w:ind w:left="454" w:hanging="454"/>
        <w:rPr>
          <w:lang w:val="en-AU"/>
        </w:rPr>
      </w:pPr>
      <w:r w:rsidRPr="00EC372C">
        <w:rPr>
          <w:lang w:val="en-AU"/>
        </w:rPr>
        <w:tab/>
        <w:t>The mix shall contain a minimum of 1% by mass of hydrated lime added filler.</w:t>
      </w:r>
    </w:p>
    <w:p w14:paraId="12428F40" w14:textId="77777777" w:rsidR="00A62A2F" w:rsidRPr="00974A8B" w:rsidRDefault="00A62A2F" w:rsidP="00FA6429">
      <w:pPr>
        <w:spacing w:line="180" w:lineRule="exact"/>
      </w:pPr>
    </w:p>
    <w:p w14:paraId="1E7E3A22" w14:textId="77777777" w:rsidR="004705F1" w:rsidRDefault="004705F1" w:rsidP="001B6D2C">
      <w:pPr>
        <w:pStyle w:val="Heading5SS"/>
      </w:pPr>
      <w:r>
        <w:t>(c)</w:t>
      </w:r>
      <w:r>
        <w:tab/>
        <w:t>Binder Content</w:t>
      </w:r>
    </w:p>
    <w:p w14:paraId="6B88E073" w14:textId="77777777" w:rsidR="004705F1" w:rsidRDefault="004705F1" w:rsidP="00FA6429">
      <w:pPr>
        <w:tabs>
          <w:tab w:val="left" w:pos="454"/>
        </w:tabs>
        <w:spacing w:before="120"/>
        <w:ind w:left="454" w:hanging="454"/>
        <w:rPr>
          <w:lang w:val="en-AU"/>
        </w:rPr>
      </w:pPr>
      <w:r>
        <w:rPr>
          <w:lang w:val="en-AU"/>
        </w:rPr>
        <w:tab/>
        <w:t>Unless otherwise specified or directed, the binder content of the mix shall be 6.5% with a production tolerance of ±0.3%.</w:t>
      </w:r>
    </w:p>
    <w:p w14:paraId="7D177B28" w14:textId="77777777" w:rsidR="00A62A2F" w:rsidRPr="00974A8B" w:rsidRDefault="00A62A2F" w:rsidP="00FA6429">
      <w:pPr>
        <w:spacing w:line="180" w:lineRule="exact"/>
      </w:pPr>
    </w:p>
    <w:p w14:paraId="08DCB694" w14:textId="77777777" w:rsidR="004705F1" w:rsidRDefault="004705F1" w:rsidP="001B6D2C">
      <w:pPr>
        <w:pStyle w:val="Heading5SS"/>
      </w:pPr>
      <w:r>
        <w:t>(d)</w:t>
      </w:r>
      <w:r>
        <w:tab/>
        <w:t>Binder Drain Off Test</w:t>
      </w:r>
    </w:p>
    <w:p w14:paraId="165507C9" w14:textId="77777777" w:rsidR="004705F1" w:rsidRDefault="004705F1" w:rsidP="00FA6429">
      <w:pPr>
        <w:tabs>
          <w:tab w:val="left" w:pos="454"/>
        </w:tabs>
        <w:spacing w:before="120"/>
        <w:ind w:left="454" w:hanging="454"/>
        <w:rPr>
          <w:lang w:val="en-AU"/>
        </w:rPr>
      </w:pPr>
      <w:r>
        <w:rPr>
          <w:lang w:val="en-AU"/>
        </w:rPr>
        <w:tab/>
        <w:t xml:space="preserve">A series of Asphalt Binder Drain Off tests over the range of likely mix temperatures shall be performed at the specified binder content to determine the maximum allowable mixing temperature to avoid excessive binder drainage.  The mass of binder paste </w:t>
      </w:r>
      <w:proofErr w:type="gramStart"/>
      <w:r>
        <w:rPr>
          <w:lang w:val="en-AU"/>
        </w:rPr>
        <w:t>drain</w:t>
      </w:r>
      <w:proofErr w:type="gramEnd"/>
      <w:r>
        <w:rPr>
          <w:lang w:val="en-AU"/>
        </w:rPr>
        <w:t xml:space="preserve"> off shall not exceed 0.3% of the total mass of the sample of mix tested at the maximum allowable mixing temperature.</w:t>
      </w:r>
    </w:p>
    <w:p w14:paraId="57187073" w14:textId="77777777" w:rsidR="007F04C2" w:rsidRPr="00974A8B" w:rsidRDefault="007F04C2" w:rsidP="00FA6429">
      <w:pPr>
        <w:spacing w:line="180" w:lineRule="exact"/>
      </w:pPr>
    </w:p>
    <w:p w14:paraId="5F9EE216" w14:textId="77777777" w:rsidR="007F04C2" w:rsidRDefault="007F04C2" w:rsidP="007F04C2">
      <w:pPr>
        <w:pStyle w:val="Heading5SS"/>
      </w:pPr>
      <w:r>
        <w:t>(e)</w:t>
      </w:r>
      <w:r>
        <w:tab/>
        <w:t>Air Voids</w:t>
      </w:r>
    </w:p>
    <w:p w14:paraId="6D545EED" w14:textId="77777777" w:rsidR="002F06E8" w:rsidRDefault="002F06E8" w:rsidP="00FA6429">
      <w:pPr>
        <w:tabs>
          <w:tab w:val="left" w:pos="454"/>
        </w:tabs>
        <w:spacing w:before="120"/>
        <w:ind w:left="454" w:hanging="454"/>
        <w:rPr>
          <w:lang w:val="en-AU"/>
        </w:rPr>
      </w:pPr>
      <w:r>
        <w:rPr>
          <w:lang w:val="en-AU"/>
        </w:rPr>
        <w:tab/>
        <w:t>The mix design shall have an air void range of 18-25%.</w:t>
      </w:r>
    </w:p>
    <w:p w14:paraId="58CA8A61" w14:textId="77777777" w:rsidR="00332CF6" w:rsidRDefault="00332CF6" w:rsidP="00FA6429">
      <w:pPr>
        <w:spacing w:line="180" w:lineRule="exact"/>
        <w:rPr>
          <w:lang w:val="en-AU"/>
        </w:rPr>
      </w:pPr>
    </w:p>
    <w:p w14:paraId="6D2B94CF" w14:textId="77777777" w:rsidR="00332CF6" w:rsidRPr="00E62EAA" w:rsidRDefault="00332CF6" w:rsidP="00FA6429">
      <w:pPr>
        <w:spacing w:line="180" w:lineRule="exact"/>
        <w:rPr>
          <w:lang w:val="en-AU"/>
        </w:rPr>
      </w:pPr>
    </w:p>
    <w:p w14:paraId="3BF8C6C8" w14:textId="77777777" w:rsidR="00332CF6" w:rsidRDefault="00332CF6" w:rsidP="00332CF6">
      <w:pPr>
        <w:pStyle w:val="Heading3SS"/>
      </w:pPr>
      <w:r>
        <w:t>417.07</w:t>
      </w:r>
      <w:r>
        <w:tab/>
        <w:t>TEMPERATURES OF BINDER, AGGREGATE AND ASPHALT</w:t>
      </w:r>
    </w:p>
    <w:p w14:paraId="51EEAA9E" w14:textId="77777777" w:rsidR="00332CF6" w:rsidRDefault="00332CF6" w:rsidP="00FA6429">
      <w:pPr>
        <w:spacing w:before="140"/>
        <w:rPr>
          <w:lang w:val="en-AU"/>
        </w:rPr>
      </w:pPr>
      <w:r>
        <w:rPr>
          <w:lang w:val="en-AU"/>
        </w:rPr>
        <w:t>Unless otherwise specified or directed, temperatures of binder, aggregate and asphalt shall comply with the requirements of Table 417.071.</w:t>
      </w:r>
    </w:p>
    <w:p w14:paraId="4C143F92" w14:textId="77777777" w:rsidR="00332CF6" w:rsidRPr="00ED431E" w:rsidRDefault="00332CF6" w:rsidP="00446088">
      <w:pPr>
        <w:rPr>
          <w:b/>
        </w:rPr>
      </w:pPr>
    </w:p>
    <w:tbl>
      <w:tblPr>
        <w:tblW w:w="7873" w:type="dxa"/>
        <w:tblInd w:w="510" w:type="dxa"/>
        <w:tblLayout w:type="fixed"/>
        <w:tblCellMar>
          <w:top w:w="57" w:type="dxa"/>
          <w:left w:w="85" w:type="dxa"/>
          <w:bottom w:w="28" w:type="dxa"/>
          <w:right w:w="85" w:type="dxa"/>
        </w:tblCellMar>
        <w:tblLook w:val="0000" w:firstRow="0" w:lastRow="0" w:firstColumn="0" w:lastColumn="0" w:noHBand="0" w:noVBand="0"/>
      </w:tblPr>
      <w:tblGrid>
        <w:gridCol w:w="1539"/>
        <w:gridCol w:w="3659"/>
        <w:gridCol w:w="1354"/>
        <w:gridCol w:w="1321"/>
      </w:tblGrid>
      <w:tr w:rsidR="00446088" w:rsidRPr="00A62500" w14:paraId="0D6F1DE7" w14:textId="77777777" w:rsidTr="00446088">
        <w:trPr>
          <w:cantSplit/>
        </w:trPr>
        <w:tc>
          <w:tcPr>
            <w:tcW w:w="1539" w:type="dxa"/>
            <w:vMerge w:val="restart"/>
            <w:tcBorders>
              <w:right w:val="single" w:sz="6" w:space="0" w:color="FFFFFF"/>
            </w:tcBorders>
          </w:tcPr>
          <w:p w14:paraId="3FD7AB84" w14:textId="77777777" w:rsidR="00446088" w:rsidRPr="00A62500" w:rsidRDefault="00446088" w:rsidP="00446088">
            <w:pPr>
              <w:jc w:val="center"/>
              <w:rPr>
                <w:b/>
                <w:lang w:val="en-AU"/>
              </w:rPr>
            </w:pPr>
            <w:r w:rsidRPr="00ED431E">
              <w:rPr>
                <w:b/>
              </w:rPr>
              <w:t>Table 417.071</w:t>
            </w:r>
          </w:p>
        </w:tc>
        <w:tc>
          <w:tcPr>
            <w:tcW w:w="3659" w:type="dxa"/>
            <w:vMerge w:val="restart"/>
            <w:tcBorders>
              <w:top w:val="single" w:sz="12" w:space="0" w:color="auto"/>
              <w:left w:val="single" w:sz="12" w:space="0" w:color="auto"/>
              <w:right w:val="single" w:sz="6" w:space="0" w:color="FFFFFF"/>
            </w:tcBorders>
            <w:vAlign w:val="center"/>
          </w:tcPr>
          <w:p w14:paraId="4FDBBADF" w14:textId="77777777" w:rsidR="00446088" w:rsidRPr="00A62500" w:rsidRDefault="00446088" w:rsidP="00332CF6">
            <w:pPr>
              <w:jc w:val="center"/>
              <w:rPr>
                <w:b/>
                <w:lang w:val="en-AU"/>
              </w:rPr>
            </w:pPr>
            <w:r w:rsidRPr="00A62500">
              <w:rPr>
                <w:b/>
                <w:lang w:val="en-AU"/>
              </w:rPr>
              <w:t>Material</w:t>
            </w:r>
          </w:p>
        </w:tc>
        <w:tc>
          <w:tcPr>
            <w:tcW w:w="2675" w:type="dxa"/>
            <w:gridSpan w:val="2"/>
            <w:tcBorders>
              <w:top w:val="single" w:sz="12" w:space="0" w:color="auto"/>
              <w:left w:val="single" w:sz="7" w:space="0" w:color="000000"/>
              <w:bottom w:val="single" w:sz="6" w:space="0" w:color="FFFFFF"/>
              <w:right w:val="single" w:sz="12" w:space="0" w:color="auto"/>
            </w:tcBorders>
            <w:vAlign w:val="center"/>
          </w:tcPr>
          <w:p w14:paraId="3B9CE7A3" w14:textId="77777777" w:rsidR="00446088" w:rsidRPr="00A62500" w:rsidRDefault="00446088" w:rsidP="00332CF6">
            <w:pPr>
              <w:jc w:val="center"/>
              <w:rPr>
                <w:b/>
                <w:lang w:val="en-AU"/>
              </w:rPr>
            </w:pPr>
            <w:r w:rsidRPr="00A62500">
              <w:rPr>
                <w:b/>
                <w:lang w:val="en-AU"/>
              </w:rPr>
              <w:t>Polymer Modified Binder Temperature </w:t>
            </w:r>
            <w:r w:rsidRPr="00A62500">
              <w:rPr>
                <w:b/>
                <w:lang w:val="en-AU"/>
              </w:rPr>
              <w:sym w:font="Symbol" w:char="F0B0"/>
            </w:r>
            <w:r w:rsidRPr="00A62500">
              <w:rPr>
                <w:b/>
                <w:lang w:val="en-AU"/>
              </w:rPr>
              <w:t>C</w:t>
            </w:r>
          </w:p>
        </w:tc>
      </w:tr>
      <w:tr w:rsidR="00446088" w:rsidRPr="00A62500" w14:paraId="761F4648" w14:textId="77777777" w:rsidTr="00446088">
        <w:trPr>
          <w:cantSplit/>
        </w:trPr>
        <w:tc>
          <w:tcPr>
            <w:tcW w:w="1539" w:type="dxa"/>
            <w:vMerge/>
            <w:tcBorders>
              <w:top w:val="single" w:sz="4" w:space="0" w:color="auto"/>
              <w:right w:val="single" w:sz="6" w:space="0" w:color="FFFFFF"/>
            </w:tcBorders>
          </w:tcPr>
          <w:p w14:paraId="7ADAD78B" w14:textId="77777777" w:rsidR="00446088" w:rsidRPr="00A62500" w:rsidRDefault="00446088" w:rsidP="00332CF6">
            <w:pPr>
              <w:jc w:val="center"/>
              <w:rPr>
                <w:b/>
                <w:lang w:val="en-AU"/>
              </w:rPr>
            </w:pPr>
          </w:p>
        </w:tc>
        <w:tc>
          <w:tcPr>
            <w:tcW w:w="3659" w:type="dxa"/>
            <w:vMerge/>
            <w:tcBorders>
              <w:left w:val="single" w:sz="12" w:space="0" w:color="auto"/>
              <w:bottom w:val="single" w:sz="12" w:space="0" w:color="auto"/>
              <w:right w:val="single" w:sz="6" w:space="0" w:color="FFFFFF"/>
            </w:tcBorders>
            <w:vAlign w:val="center"/>
          </w:tcPr>
          <w:p w14:paraId="388BEB47" w14:textId="77777777" w:rsidR="00446088" w:rsidRPr="00A62500" w:rsidRDefault="00446088" w:rsidP="00332CF6">
            <w:pPr>
              <w:jc w:val="center"/>
              <w:rPr>
                <w:b/>
                <w:lang w:val="en-AU"/>
              </w:rPr>
            </w:pPr>
          </w:p>
        </w:tc>
        <w:tc>
          <w:tcPr>
            <w:tcW w:w="1354" w:type="dxa"/>
            <w:tcBorders>
              <w:top w:val="single" w:sz="7" w:space="0" w:color="000000"/>
              <w:left w:val="single" w:sz="7" w:space="0" w:color="000000"/>
              <w:bottom w:val="single" w:sz="12" w:space="0" w:color="auto"/>
              <w:right w:val="single" w:sz="6" w:space="0" w:color="FFFFFF"/>
            </w:tcBorders>
            <w:vAlign w:val="center"/>
          </w:tcPr>
          <w:p w14:paraId="6ACDDF54" w14:textId="77777777" w:rsidR="00446088" w:rsidRPr="00A62500" w:rsidRDefault="00446088" w:rsidP="00332CF6">
            <w:pPr>
              <w:jc w:val="center"/>
              <w:rPr>
                <w:b/>
                <w:lang w:val="en-AU"/>
              </w:rPr>
            </w:pPr>
            <w:r w:rsidRPr="00A62500">
              <w:rPr>
                <w:b/>
                <w:lang w:val="en-AU"/>
              </w:rPr>
              <w:t>Min</w:t>
            </w:r>
          </w:p>
        </w:tc>
        <w:tc>
          <w:tcPr>
            <w:tcW w:w="1321" w:type="dxa"/>
            <w:tcBorders>
              <w:top w:val="single" w:sz="7" w:space="0" w:color="000000"/>
              <w:left w:val="single" w:sz="7" w:space="0" w:color="000000"/>
              <w:bottom w:val="single" w:sz="12" w:space="0" w:color="auto"/>
              <w:right w:val="single" w:sz="12" w:space="0" w:color="auto"/>
            </w:tcBorders>
            <w:vAlign w:val="center"/>
          </w:tcPr>
          <w:p w14:paraId="76FD7FDD" w14:textId="77777777" w:rsidR="00446088" w:rsidRPr="00A62500" w:rsidRDefault="00446088" w:rsidP="00332CF6">
            <w:pPr>
              <w:jc w:val="center"/>
              <w:rPr>
                <w:b/>
                <w:lang w:val="en-AU"/>
              </w:rPr>
            </w:pPr>
            <w:r w:rsidRPr="00A62500">
              <w:rPr>
                <w:b/>
                <w:lang w:val="en-AU"/>
              </w:rPr>
              <w:t>Max</w:t>
            </w:r>
          </w:p>
        </w:tc>
      </w:tr>
      <w:tr w:rsidR="00446088" w14:paraId="0FD74351" w14:textId="77777777" w:rsidTr="00446088">
        <w:trPr>
          <w:cantSplit/>
        </w:trPr>
        <w:tc>
          <w:tcPr>
            <w:tcW w:w="1539" w:type="dxa"/>
            <w:vMerge/>
            <w:tcBorders>
              <w:top w:val="single" w:sz="4" w:space="0" w:color="auto"/>
              <w:right w:val="single" w:sz="6" w:space="0" w:color="FFFFFF"/>
            </w:tcBorders>
          </w:tcPr>
          <w:p w14:paraId="28D821E2" w14:textId="77777777" w:rsidR="00446088" w:rsidRDefault="00446088" w:rsidP="00332CF6">
            <w:pPr>
              <w:rPr>
                <w:lang w:val="en-AU"/>
              </w:rPr>
            </w:pPr>
          </w:p>
        </w:tc>
        <w:tc>
          <w:tcPr>
            <w:tcW w:w="3659" w:type="dxa"/>
            <w:tcBorders>
              <w:top w:val="single" w:sz="12" w:space="0" w:color="auto"/>
              <w:left w:val="single" w:sz="12" w:space="0" w:color="auto"/>
              <w:bottom w:val="single" w:sz="6" w:space="0" w:color="FFFFFF"/>
              <w:right w:val="single" w:sz="6" w:space="0" w:color="FFFFFF"/>
            </w:tcBorders>
          </w:tcPr>
          <w:p w14:paraId="069899F8" w14:textId="77777777" w:rsidR="00446088" w:rsidRDefault="00446088" w:rsidP="00332CF6">
            <w:pPr>
              <w:rPr>
                <w:lang w:val="en-AU"/>
              </w:rPr>
            </w:pPr>
            <w:r>
              <w:rPr>
                <w:lang w:val="en-AU"/>
              </w:rPr>
              <w:t>Binder delivered into plant storage</w:t>
            </w:r>
          </w:p>
        </w:tc>
        <w:tc>
          <w:tcPr>
            <w:tcW w:w="1354" w:type="dxa"/>
            <w:tcBorders>
              <w:top w:val="single" w:sz="12" w:space="0" w:color="auto"/>
              <w:left w:val="single" w:sz="7" w:space="0" w:color="000000"/>
              <w:bottom w:val="single" w:sz="6" w:space="0" w:color="FFFFFF"/>
              <w:right w:val="single" w:sz="6" w:space="0" w:color="FFFFFF"/>
            </w:tcBorders>
          </w:tcPr>
          <w:p w14:paraId="275781C8" w14:textId="77777777" w:rsidR="00446088" w:rsidRDefault="00446088" w:rsidP="00332CF6">
            <w:pPr>
              <w:jc w:val="center"/>
              <w:rPr>
                <w:lang w:val="en-AU"/>
              </w:rPr>
            </w:pPr>
            <w:r>
              <w:rPr>
                <w:lang w:val="en-AU"/>
              </w:rPr>
              <w:t>180</w:t>
            </w:r>
          </w:p>
        </w:tc>
        <w:tc>
          <w:tcPr>
            <w:tcW w:w="1321" w:type="dxa"/>
            <w:tcBorders>
              <w:top w:val="single" w:sz="12" w:space="0" w:color="auto"/>
              <w:left w:val="single" w:sz="7" w:space="0" w:color="000000"/>
              <w:bottom w:val="single" w:sz="6" w:space="0" w:color="FFFFFF"/>
              <w:right w:val="single" w:sz="12" w:space="0" w:color="auto"/>
            </w:tcBorders>
          </w:tcPr>
          <w:p w14:paraId="631AA275" w14:textId="77777777" w:rsidR="00446088" w:rsidRDefault="00446088" w:rsidP="00332CF6">
            <w:pPr>
              <w:jc w:val="center"/>
              <w:rPr>
                <w:lang w:val="en-AU"/>
              </w:rPr>
            </w:pPr>
            <w:r>
              <w:rPr>
                <w:lang w:val="en-AU"/>
              </w:rPr>
              <w:t>190</w:t>
            </w:r>
          </w:p>
        </w:tc>
      </w:tr>
      <w:tr w:rsidR="00446088" w14:paraId="40E8A0A5" w14:textId="77777777" w:rsidTr="00446088">
        <w:trPr>
          <w:cantSplit/>
        </w:trPr>
        <w:tc>
          <w:tcPr>
            <w:tcW w:w="1539" w:type="dxa"/>
            <w:vMerge/>
            <w:tcBorders>
              <w:top w:val="single" w:sz="4" w:space="0" w:color="auto"/>
              <w:right w:val="single" w:sz="6" w:space="0" w:color="FFFFFF"/>
            </w:tcBorders>
          </w:tcPr>
          <w:p w14:paraId="503E219D" w14:textId="77777777" w:rsidR="00446088" w:rsidRDefault="00446088" w:rsidP="00332CF6">
            <w:pPr>
              <w:rPr>
                <w:lang w:val="en-AU"/>
              </w:rPr>
            </w:pPr>
          </w:p>
        </w:tc>
        <w:tc>
          <w:tcPr>
            <w:tcW w:w="3659" w:type="dxa"/>
            <w:tcBorders>
              <w:top w:val="single" w:sz="6" w:space="0" w:color="FFFFFF"/>
              <w:left w:val="single" w:sz="12" w:space="0" w:color="auto"/>
              <w:bottom w:val="single" w:sz="6" w:space="0" w:color="FFFFFF"/>
              <w:right w:val="single" w:sz="6" w:space="0" w:color="FFFFFF"/>
            </w:tcBorders>
          </w:tcPr>
          <w:p w14:paraId="7A9C5DCC" w14:textId="77777777" w:rsidR="00446088" w:rsidRDefault="00446088" w:rsidP="00332CF6">
            <w:pPr>
              <w:rPr>
                <w:lang w:val="en-AU"/>
              </w:rPr>
            </w:pPr>
            <w:r>
              <w:rPr>
                <w:lang w:val="en-AU"/>
              </w:rPr>
              <w:t>Asphalt at discharge from mixing plant</w:t>
            </w:r>
          </w:p>
        </w:tc>
        <w:tc>
          <w:tcPr>
            <w:tcW w:w="1354" w:type="dxa"/>
            <w:tcBorders>
              <w:top w:val="single" w:sz="6" w:space="0" w:color="FFFFFF"/>
              <w:left w:val="single" w:sz="7" w:space="0" w:color="000000"/>
              <w:bottom w:val="single" w:sz="6" w:space="0" w:color="FFFFFF"/>
              <w:right w:val="single" w:sz="6" w:space="0" w:color="FFFFFF"/>
            </w:tcBorders>
          </w:tcPr>
          <w:p w14:paraId="5BC74C2D" w14:textId="77777777" w:rsidR="00446088" w:rsidRDefault="00446088" w:rsidP="00332CF6">
            <w:pPr>
              <w:jc w:val="center"/>
              <w:rPr>
                <w:lang w:val="en-AU"/>
              </w:rPr>
            </w:pPr>
            <w:r>
              <w:rPr>
                <w:lang w:val="en-AU"/>
              </w:rPr>
              <w:t>155</w:t>
            </w:r>
          </w:p>
        </w:tc>
        <w:tc>
          <w:tcPr>
            <w:tcW w:w="1321" w:type="dxa"/>
            <w:tcBorders>
              <w:top w:val="single" w:sz="6" w:space="0" w:color="FFFFFF"/>
              <w:left w:val="single" w:sz="7" w:space="0" w:color="000000"/>
              <w:bottom w:val="single" w:sz="6" w:space="0" w:color="FFFFFF"/>
              <w:right w:val="single" w:sz="12" w:space="0" w:color="auto"/>
            </w:tcBorders>
          </w:tcPr>
          <w:p w14:paraId="07C237F0" w14:textId="77777777" w:rsidR="00446088" w:rsidRDefault="00446088" w:rsidP="00332CF6">
            <w:pPr>
              <w:jc w:val="center"/>
              <w:rPr>
                <w:lang w:val="en-AU"/>
              </w:rPr>
            </w:pPr>
            <w:r>
              <w:rPr>
                <w:lang w:val="en-AU"/>
              </w:rPr>
              <w:t>180</w:t>
            </w:r>
          </w:p>
        </w:tc>
      </w:tr>
      <w:tr w:rsidR="00446088" w14:paraId="1F2EA8A9" w14:textId="77777777" w:rsidTr="00446088">
        <w:trPr>
          <w:cantSplit/>
        </w:trPr>
        <w:tc>
          <w:tcPr>
            <w:tcW w:w="1539" w:type="dxa"/>
            <w:vMerge/>
            <w:tcBorders>
              <w:top w:val="single" w:sz="4" w:space="0" w:color="auto"/>
              <w:right w:val="single" w:sz="6" w:space="0" w:color="FFFFFF"/>
            </w:tcBorders>
          </w:tcPr>
          <w:p w14:paraId="3767A518" w14:textId="77777777" w:rsidR="00446088" w:rsidRDefault="00446088" w:rsidP="00332CF6">
            <w:pPr>
              <w:rPr>
                <w:lang w:val="en-AU"/>
              </w:rPr>
            </w:pPr>
          </w:p>
        </w:tc>
        <w:tc>
          <w:tcPr>
            <w:tcW w:w="3659" w:type="dxa"/>
            <w:tcBorders>
              <w:top w:val="single" w:sz="6" w:space="0" w:color="FFFFFF"/>
              <w:left w:val="single" w:sz="12" w:space="0" w:color="auto"/>
              <w:bottom w:val="single" w:sz="12" w:space="0" w:color="auto"/>
              <w:right w:val="single" w:sz="6" w:space="0" w:color="FFFFFF"/>
            </w:tcBorders>
          </w:tcPr>
          <w:p w14:paraId="1E356AAE" w14:textId="77777777" w:rsidR="00446088" w:rsidRDefault="00446088" w:rsidP="00332CF6">
            <w:pPr>
              <w:rPr>
                <w:lang w:val="en-AU"/>
              </w:rPr>
            </w:pPr>
            <w:r>
              <w:rPr>
                <w:lang w:val="en-AU"/>
              </w:rPr>
              <w:t>Asphalt at spreading plant</w:t>
            </w:r>
          </w:p>
        </w:tc>
        <w:tc>
          <w:tcPr>
            <w:tcW w:w="1354" w:type="dxa"/>
            <w:tcBorders>
              <w:top w:val="single" w:sz="6" w:space="0" w:color="FFFFFF"/>
              <w:left w:val="single" w:sz="7" w:space="0" w:color="000000"/>
              <w:bottom w:val="single" w:sz="12" w:space="0" w:color="auto"/>
              <w:right w:val="single" w:sz="6" w:space="0" w:color="FFFFFF"/>
            </w:tcBorders>
          </w:tcPr>
          <w:p w14:paraId="024A4A57" w14:textId="77777777" w:rsidR="00446088" w:rsidRDefault="00446088" w:rsidP="00332CF6">
            <w:pPr>
              <w:jc w:val="center"/>
              <w:rPr>
                <w:lang w:val="en-AU"/>
              </w:rPr>
            </w:pPr>
            <w:r>
              <w:rPr>
                <w:lang w:val="en-AU"/>
              </w:rPr>
              <w:t>150</w:t>
            </w:r>
          </w:p>
        </w:tc>
        <w:tc>
          <w:tcPr>
            <w:tcW w:w="1321" w:type="dxa"/>
            <w:tcBorders>
              <w:top w:val="single" w:sz="6" w:space="0" w:color="FFFFFF"/>
              <w:left w:val="single" w:sz="7" w:space="0" w:color="000000"/>
              <w:bottom w:val="single" w:sz="12" w:space="0" w:color="auto"/>
              <w:right w:val="single" w:sz="12" w:space="0" w:color="auto"/>
            </w:tcBorders>
          </w:tcPr>
          <w:p w14:paraId="771296C3" w14:textId="77777777" w:rsidR="00446088" w:rsidRDefault="00446088" w:rsidP="00332CF6">
            <w:pPr>
              <w:jc w:val="center"/>
              <w:rPr>
                <w:lang w:val="en-AU"/>
              </w:rPr>
            </w:pPr>
            <w:r>
              <w:rPr>
                <w:lang w:val="en-AU"/>
              </w:rPr>
              <w:t>175</w:t>
            </w:r>
          </w:p>
        </w:tc>
      </w:tr>
    </w:tbl>
    <w:p w14:paraId="5C092280" w14:textId="77777777" w:rsidR="004705F1" w:rsidRDefault="00035166" w:rsidP="0058248E">
      <w:pPr>
        <w:spacing w:line="80" w:lineRule="exact"/>
        <w:rPr>
          <w:lang w:val="en-AU"/>
        </w:rPr>
      </w:pPr>
      <w:r>
        <w:rPr>
          <w:noProof/>
          <w:snapToGrid/>
          <w:lang w:val="en-AU" w:eastAsia="en-AU"/>
        </w:rPr>
        <w:pict w14:anchorId="0AFAB63E">
          <v:shape id="_x0000_s1039" type="#_x0000_t202" style="position:absolute;margin-left:0;margin-top:779.65pt;width:481.9pt;height:36.85pt;z-index:-251658752;mso-wrap-distance-top:5.65pt;mso-position-horizontal:center;mso-position-horizontal-relative:page;mso-position-vertical-relative:page" stroked="f">
            <v:textbox style="mso-next-textbox:#_x0000_s1039" inset="0,,0">
              <w:txbxContent>
                <w:p w14:paraId="4F5AD739" w14:textId="77777777" w:rsidR="00446088" w:rsidRDefault="00446088" w:rsidP="000B5B92">
                  <w:pPr>
                    <w:pBdr>
                      <w:top w:val="single" w:sz="6" w:space="1" w:color="000000"/>
                    </w:pBdr>
                    <w:spacing w:line="60" w:lineRule="exact"/>
                    <w:jc w:val="right"/>
                    <w:rPr>
                      <w:b/>
                    </w:rPr>
                  </w:pPr>
                </w:p>
                <w:p w14:paraId="6AFF9832" w14:textId="57F688CD" w:rsidR="00446088" w:rsidRDefault="00446088" w:rsidP="000B5B92">
                  <w:pPr>
                    <w:pBdr>
                      <w:top w:val="single" w:sz="6" w:space="1" w:color="000000"/>
                    </w:pBdr>
                    <w:jc w:val="right"/>
                  </w:pPr>
                  <w:r>
                    <w:rPr>
                      <w:b/>
                    </w:rPr>
                    <w:t>©</w:t>
                  </w:r>
                  <w:r>
                    <w:t xml:space="preserve"> </w:t>
                  </w:r>
                  <w:r w:rsidR="00035166">
                    <w:t xml:space="preserve">Department of </w:t>
                  </w:r>
                  <w:proofErr w:type="gramStart"/>
                  <w:r w:rsidR="00035166">
                    <w:t>Transport</w:t>
                  </w:r>
                  <w:r>
                    <w:t xml:space="preserve">  </w:t>
                  </w:r>
                  <w:r w:rsidR="009863E4">
                    <w:t>December</w:t>
                  </w:r>
                  <w:proofErr w:type="gramEnd"/>
                  <w:r w:rsidR="009863E4">
                    <w:t xml:space="preserve"> 2018</w:t>
                  </w:r>
                </w:p>
                <w:p w14:paraId="6A7EA4FB" w14:textId="77777777" w:rsidR="00446088" w:rsidRDefault="00446088" w:rsidP="000B5B92">
                  <w:pPr>
                    <w:jc w:val="right"/>
                  </w:pPr>
                  <w:r>
                    <w:t xml:space="preserve">Section 417 (Page 2 of </w:t>
                  </w:r>
                  <w:r w:rsidR="0014029C">
                    <w:t>3</w:t>
                  </w:r>
                  <w:r>
                    <w:t>)</w:t>
                  </w:r>
                </w:p>
                <w:p w14:paraId="178C23E7" w14:textId="77777777" w:rsidR="00446088" w:rsidRDefault="00446088" w:rsidP="000B5B92">
                  <w:pPr>
                    <w:jc w:val="right"/>
                  </w:pPr>
                </w:p>
              </w:txbxContent>
            </v:textbox>
            <w10:wrap anchorx="page" anchory="page"/>
            <w10:anchorlock/>
          </v:shape>
        </w:pict>
      </w:r>
      <w:r w:rsidR="004705F1">
        <w:rPr>
          <w:lang w:val="en-AU"/>
        </w:rPr>
        <w:br w:type="page"/>
      </w:r>
    </w:p>
    <w:p w14:paraId="657D70CC" w14:textId="77777777" w:rsidR="004705F1" w:rsidRDefault="004705F1" w:rsidP="00EC372C">
      <w:pPr>
        <w:pStyle w:val="Heading3SS"/>
      </w:pPr>
      <w:r>
        <w:t>417.08</w:t>
      </w:r>
      <w:r>
        <w:tab/>
        <w:t>AMBIENT CONDITIONS FOR PLACING</w:t>
      </w:r>
    </w:p>
    <w:p w14:paraId="185D3C52" w14:textId="77777777" w:rsidR="004705F1" w:rsidRPr="00EC372C" w:rsidRDefault="004705F1" w:rsidP="005A190B">
      <w:pPr>
        <w:spacing w:before="160"/>
        <w:rPr>
          <w:lang w:val="en-AU"/>
        </w:rPr>
      </w:pPr>
      <w:r w:rsidRPr="00EC372C">
        <w:rPr>
          <w:lang w:val="en-AU"/>
        </w:rPr>
        <w:t xml:space="preserve">OGA shall not be placed when </w:t>
      </w:r>
      <w:proofErr w:type="gramStart"/>
      <w:r w:rsidRPr="00EC372C">
        <w:rPr>
          <w:lang w:val="en-AU"/>
        </w:rPr>
        <w:t>the majority of</w:t>
      </w:r>
      <w:proofErr w:type="gramEnd"/>
      <w:r w:rsidRPr="00EC372C">
        <w:rPr>
          <w:lang w:val="en-AU"/>
        </w:rPr>
        <w:t xml:space="preserve"> the area to be paved has a surface temperature of less than 15</w:t>
      </w:r>
      <w:r w:rsidRPr="00EC372C">
        <w:rPr>
          <w:lang w:val="en-AU"/>
        </w:rPr>
        <w:sym w:font="Symbol" w:char="F0B0"/>
      </w:r>
      <w:r w:rsidRPr="00EC372C">
        <w:rPr>
          <w:lang w:val="en-AU"/>
        </w:rPr>
        <w:t>C.</w:t>
      </w:r>
    </w:p>
    <w:p w14:paraId="4BDFD314" w14:textId="77777777" w:rsidR="004705F1" w:rsidRDefault="004705F1" w:rsidP="00046599">
      <w:pPr>
        <w:rPr>
          <w:lang w:val="en-AU"/>
        </w:rPr>
      </w:pPr>
    </w:p>
    <w:p w14:paraId="64B1966E" w14:textId="77777777" w:rsidR="004705F1" w:rsidRDefault="004705F1" w:rsidP="00046599">
      <w:pPr>
        <w:rPr>
          <w:lang w:val="en-AU"/>
        </w:rPr>
      </w:pPr>
    </w:p>
    <w:p w14:paraId="0BE4F6F2" w14:textId="77777777" w:rsidR="004705F1" w:rsidRDefault="004705F1" w:rsidP="00EC372C">
      <w:pPr>
        <w:pStyle w:val="Heading3SS"/>
      </w:pPr>
      <w:r>
        <w:t>417.09</w:t>
      </w:r>
      <w:r>
        <w:tab/>
        <w:t>WATER R</w:t>
      </w:r>
      <w:r w:rsidR="00273D30">
        <w:t>ESISTANT BITUMINOUS BOND</w:t>
      </w:r>
      <w:r>
        <w:t xml:space="preserve"> COAT</w:t>
      </w:r>
    </w:p>
    <w:p w14:paraId="69E2547D" w14:textId="77777777" w:rsidR="004705F1" w:rsidRDefault="004705F1" w:rsidP="005A190B">
      <w:pPr>
        <w:spacing w:before="160"/>
        <w:rPr>
          <w:lang w:val="en-AU"/>
        </w:rPr>
      </w:pPr>
      <w:r>
        <w:rPr>
          <w:lang w:val="en-AU"/>
        </w:rPr>
        <w:t xml:space="preserve">A </w:t>
      </w:r>
      <w:proofErr w:type="gramStart"/>
      <w:r>
        <w:rPr>
          <w:lang w:val="en-AU"/>
        </w:rPr>
        <w:t xml:space="preserve">water </w:t>
      </w:r>
      <w:r w:rsidR="00273D30">
        <w:rPr>
          <w:lang w:val="en-AU"/>
        </w:rPr>
        <w:t>resistant</w:t>
      </w:r>
      <w:proofErr w:type="gramEnd"/>
      <w:r w:rsidR="00273D30">
        <w:rPr>
          <w:lang w:val="en-AU"/>
        </w:rPr>
        <w:t xml:space="preserve"> bond</w:t>
      </w:r>
      <w:r>
        <w:rPr>
          <w:lang w:val="en-AU"/>
        </w:rPr>
        <w:t xml:space="preserve"> coat shall be applied to the existing surface consisting of cationic rapid setting bitumen emulsion (60% bitumen content) applied at a rate of application of not less than 0.5</w:t>
      </w:r>
      <w:r w:rsidR="00592807">
        <w:rPr>
          <w:lang w:val="en-AU"/>
        </w:rPr>
        <w:t> </w:t>
      </w:r>
      <w:r>
        <w:rPr>
          <w:lang w:val="en-AU"/>
        </w:rPr>
        <w:t>l</w:t>
      </w:r>
      <w:r w:rsidR="00592807">
        <w:rPr>
          <w:lang w:val="en-AU"/>
        </w:rPr>
        <w:t>/m</w:t>
      </w:r>
      <w:r w:rsidR="00592807" w:rsidRPr="00592807">
        <w:rPr>
          <w:sz w:val="22"/>
          <w:vertAlign w:val="superscript"/>
          <w:lang w:val="en-AU"/>
        </w:rPr>
        <w:t>2</w:t>
      </w:r>
      <w:r>
        <w:rPr>
          <w:lang w:val="en-AU"/>
        </w:rPr>
        <w:t xml:space="preserve"> using a calibrated sprayer to uniformly spray the emulsion.  Hand spraying shall only be permitted on small irregularly shaped areas clear of the traffic path.  A cationic rapid setting PMB emulsion with 60% to 70% binder content may be used to reduce the possibility of run off and excessive tackiness.</w:t>
      </w:r>
    </w:p>
    <w:p w14:paraId="2AD0308E" w14:textId="77777777" w:rsidR="004705F1" w:rsidRDefault="004705F1" w:rsidP="00046599">
      <w:pPr>
        <w:rPr>
          <w:lang w:val="en-AU"/>
        </w:rPr>
      </w:pPr>
    </w:p>
    <w:p w14:paraId="0FE375B4" w14:textId="77777777" w:rsidR="004705F1" w:rsidRDefault="004705F1" w:rsidP="00046599">
      <w:pPr>
        <w:rPr>
          <w:lang w:val="en-AU"/>
        </w:rPr>
      </w:pPr>
    </w:p>
    <w:p w14:paraId="2427441F" w14:textId="77777777" w:rsidR="004705F1" w:rsidRDefault="004705F1" w:rsidP="00EC372C">
      <w:pPr>
        <w:pStyle w:val="Heading3SS"/>
      </w:pPr>
      <w:r>
        <w:t>417.10</w:t>
      </w:r>
      <w:r>
        <w:tab/>
        <w:t>SPREADING</w:t>
      </w:r>
    </w:p>
    <w:p w14:paraId="116D28EA" w14:textId="77777777" w:rsidR="004705F1" w:rsidRPr="00EC372C" w:rsidRDefault="004705F1" w:rsidP="005A190B">
      <w:pPr>
        <w:spacing w:before="160"/>
        <w:rPr>
          <w:lang w:val="en-AU"/>
        </w:rPr>
      </w:pPr>
      <w:r w:rsidRPr="00EC372C">
        <w:rPr>
          <w:lang w:val="en-AU"/>
        </w:rPr>
        <w:t xml:space="preserve">Heating of the paver screed shall cease while the paver is </w:t>
      </w:r>
      <w:proofErr w:type="gramStart"/>
      <w:r w:rsidRPr="00EC372C">
        <w:rPr>
          <w:lang w:val="en-AU"/>
        </w:rPr>
        <w:t>stationary</w:t>
      </w:r>
      <w:proofErr w:type="gramEnd"/>
      <w:r w:rsidRPr="00EC372C">
        <w:rPr>
          <w:lang w:val="en-AU"/>
        </w:rPr>
        <w:t xml:space="preserve"> and the screed is in contact with the asphalt mat.</w:t>
      </w:r>
    </w:p>
    <w:p w14:paraId="23C74FB5" w14:textId="77777777" w:rsidR="004705F1" w:rsidRDefault="004705F1" w:rsidP="005A190B">
      <w:pPr>
        <w:spacing w:before="160"/>
        <w:rPr>
          <w:lang w:val="en-AU"/>
        </w:rPr>
      </w:pPr>
      <w:r>
        <w:rPr>
          <w:lang w:val="en-AU"/>
        </w:rPr>
        <w:t xml:space="preserve">The thickness at any point in the OGA layer shall not be less than 20 mm and the mean thickness of a </w:t>
      </w:r>
      <w:r w:rsidR="00EB13C9">
        <w:rPr>
          <w:lang w:val="en-AU"/>
        </w:rPr>
        <w:t xml:space="preserve">test </w:t>
      </w:r>
      <w:r>
        <w:rPr>
          <w:lang w:val="en-AU"/>
        </w:rPr>
        <w:t xml:space="preserve">lot of OGA shall not be less than the specified thickness.  For the purposes of this clause a </w:t>
      </w:r>
      <w:r w:rsidR="00EB13C9">
        <w:rPr>
          <w:lang w:val="en-AU"/>
        </w:rPr>
        <w:t xml:space="preserve">test </w:t>
      </w:r>
      <w:r>
        <w:rPr>
          <w:lang w:val="en-AU"/>
        </w:rPr>
        <w:t>lot shall be defined as an area of up to a maximum of 4,000 m</w:t>
      </w:r>
      <w:r w:rsidRPr="00A70392">
        <w:rPr>
          <w:vertAlign w:val="superscript"/>
          <w:lang w:val="en-AU"/>
        </w:rPr>
        <w:t>2</w:t>
      </w:r>
      <w:r>
        <w:rPr>
          <w:lang w:val="en-AU"/>
        </w:rPr>
        <w:t>.</w:t>
      </w:r>
    </w:p>
    <w:p w14:paraId="30499D29" w14:textId="77777777" w:rsidR="004705F1" w:rsidRDefault="004705F1" w:rsidP="005A190B">
      <w:pPr>
        <w:spacing w:before="160"/>
        <w:rPr>
          <w:lang w:val="en-AU"/>
        </w:rPr>
      </w:pPr>
      <w:r>
        <w:rPr>
          <w:lang w:val="en-AU"/>
        </w:rPr>
        <w:t>Unless otherwise specified, all areas of the existing pavement surface that are not free draining shall be filled or regulated with dense graded asphalt as specified prior to placing OGA.</w:t>
      </w:r>
    </w:p>
    <w:p w14:paraId="131EEF89" w14:textId="77777777" w:rsidR="004705F1" w:rsidRDefault="004705F1" w:rsidP="00046599">
      <w:pPr>
        <w:rPr>
          <w:lang w:val="en-AU"/>
        </w:rPr>
      </w:pPr>
    </w:p>
    <w:p w14:paraId="24D812BE" w14:textId="77777777" w:rsidR="004705F1" w:rsidRDefault="004705F1" w:rsidP="00046599">
      <w:pPr>
        <w:rPr>
          <w:lang w:val="en-AU"/>
        </w:rPr>
      </w:pPr>
    </w:p>
    <w:p w14:paraId="1053D0CD" w14:textId="77777777" w:rsidR="004705F1" w:rsidRDefault="004705F1" w:rsidP="00EC372C">
      <w:pPr>
        <w:pStyle w:val="Heading3SS"/>
      </w:pPr>
      <w:r>
        <w:t>417.11</w:t>
      </w:r>
      <w:r>
        <w:tab/>
        <w:t>JOINTS AND JUNCTIONS</w:t>
      </w:r>
    </w:p>
    <w:p w14:paraId="7A7E10C6" w14:textId="77777777" w:rsidR="004705F1" w:rsidRDefault="004705F1" w:rsidP="005A190B">
      <w:pPr>
        <w:spacing w:before="160"/>
        <w:rPr>
          <w:lang w:val="en-AU"/>
        </w:rPr>
      </w:pPr>
      <w:r>
        <w:rPr>
          <w:lang w:val="en-AU"/>
        </w:rPr>
        <w:t xml:space="preserve">At junctions where the new asphalt mat is required to match the level of the existing pavement, </w:t>
      </w:r>
      <w:r w:rsidR="008C49FB">
        <w:rPr>
          <w:lang w:val="en-AU"/>
        </w:rPr>
        <w:t>and where the depth of the OGA cannot be used to match into the existing pavement,</w:t>
      </w:r>
      <w:r>
        <w:rPr>
          <w:lang w:val="en-AU"/>
        </w:rPr>
        <w:t xml:space="preserve"> junctions shall be constructed with Size 10 Type H dense graded asphalt over the full width of carriageway as follows:</w:t>
      </w:r>
    </w:p>
    <w:p w14:paraId="515686FF" w14:textId="77777777" w:rsidR="004705F1" w:rsidRDefault="004705F1" w:rsidP="004207CE">
      <w:pPr>
        <w:tabs>
          <w:tab w:val="right" w:leader="dot" w:pos="7371"/>
        </w:tabs>
        <w:spacing w:before="160"/>
        <w:ind w:left="426"/>
        <w:rPr>
          <w:lang w:val="en-AU"/>
        </w:rPr>
      </w:pPr>
      <w:r>
        <w:rPr>
          <w:lang w:val="en-AU"/>
        </w:rPr>
        <w:t>Side streets and median openings</w:t>
      </w:r>
      <w:r>
        <w:rPr>
          <w:lang w:val="en-AU"/>
        </w:rPr>
        <w:tab/>
        <w:t>600 mm</w:t>
      </w:r>
    </w:p>
    <w:p w14:paraId="7F85C345" w14:textId="77777777" w:rsidR="004705F1" w:rsidRDefault="004705F1" w:rsidP="004207CE">
      <w:pPr>
        <w:tabs>
          <w:tab w:val="right" w:leader="dot" w:pos="7371"/>
        </w:tabs>
        <w:spacing w:before="120"/>
        <w:ind w:left="426"/>
        <w:rPr>
          <w:lang w:val="en-AU"/>
        </w:rPr>
      </w:pPr>
      <w:r>
        <w:rPr>
          <w:lang w:val="en-AU"/>
        </w:rPr>
        <w:t>Through carriageways with a speed limit of 75 km/h or less</w:t>
      </w:r>
      <w:r>
        <w:rPr>
          <w:lang w:val="en-AU"/>
        </w:rPr>
        <w:tab/>
        <w:t>3 metres</w:t>
      </w:r>
    </w:p>
    <w:p w14:paraId="49A117B7" w14:textId="77777777" w:rsidR="004705F1" w:rsidRDefault="004705F1" w:rsidP="004207CE">
      <w:pPr>
        <w:tabs>
          <w:tab w:val="right" w:leader="dot" w:pos="7371"/>
        </w:tabs>
        <w:spacing w:before="120"/>
        <w:ind w:left="426"/>
        <w:rPr>
          <w:lang w:val="en-AU"/>
        </w:rPr>
      </w:pPr>
      <w:r>
        <w:rPr>
          <w:lang w:val="en-AU"/>
        </w:rPr>
        <w:t>Through carriageways with a speed limit of more than 75 km/h</w:t>
      </w:r>
      <w:r>
        <w:rPr>
          <w:lang w:val="en-AU"/>
        </w:rPr>
        <w:tab/>
        <w:t>6 metres</w:t>
      </w:r>
    </w:p>
    <w:p w14:paraId="4417A5D1" w14:textId="77777777" w:rsidR="006B0E50" w:rsidRDefault="006B0E50" w:rsidP="006B0E50">
      <w:pPr>
        <w:spacing w:before="160"/>
        <w:rPr>
          <w:lang w:val="en-AU"/>
        </w:rPr>
      </w:pPr>
      <w:r>
        <w:rPr>
          <w:lang w:val="en-AU"/>
        </w:rPr>
        <w:t>At any location where the layer is to be "feathered" to a depth of less than 20 mm, such "feathering" shall be carried out with Type N or H, size 7 or size 10 dense graded asphalt as specified.</w:t>
      </w:r>
    </w:p>
    <w:p w14:paraId="5A4110B3" w14:textId="77777777" w:rsidR="006B0E50" w:rsidRDefault="006B0E50" w:rsidP="006B0E50">
      <w:pPr>
        <w:spacing w:before="160"/>
        <w:rPr>
          <w:lang w:val="en-AU"/>
        </w:rPr>
      </w:pPr>
      <w:r>
        <w:rPr>
          <w:lang w:val="en-AU"/>
        </w:rPr>
        <w:t>“Feathering” constructed in the direction of paving shall be placed by the paving machine.</w:t>
      </w:r>
    </w:p>
    <w:p w14:paraId="0D2A91B3" w14:textId="77777777" w:rsidR="006B0E50" w:rsidRDefault="006B0E50" w:rsidP="006B0E50">
      <w:pPr>
        <w:rPr>
          <w:lang w:val="en-AU"/>
        </w:rPr>
      </w:pPr>
    </w:p>
    <w:p w14:paraId="35243E5E" w14:textId="77777777" w:rsidR="006B0E50" w:rsidRPr="007663B3" w:rsidRDefault="006B0E50" w:rsidP="006B0E50">
      <w:pPr>
        <w:rPr>
          <w:lang w:val="en-AU"/>
        </w:rPr>
      </w:pPr>
    </w:p>
    <w:p w14:paraId="4A797AC8" w14:textId="77777777" w:rsidR="006B0E50" w:rsidRDefault="006B0E50" w:rsidP="006B0E50">
      <w:pPr>
        <w:pStyle w:val="Heading3SS"/>
      </w:pPr>
      <w:r>
        <w:t>417.12</w:t>
      </w:r>
      <w:r>
        <w:tab/>
        <w:t>COMPACTION REQUIREMENTS</w:t>
      </w:r>
    </w:p>
    <w:p w14:paraId="3168344E" w14:textId="77777777" w:rsidR="006B0E50" w:rsidRPr="00EC372C" w:rsidRDefault="006B0E50" w:rsidP="006B0E50">
      <w:pPr>
        <w:spacing w:before="200"/>
        <w:rPr>
          <w:lang w:val="en-AU"/>
        </w:rPr>
      </w:pPr>
      <w:r w:rsidRPr="00EC372C">
        <w:rPr>
          <w:lang w:val="en-AU"/>
        </w:rPr>
        <w:t>Acceptance of compaction shall be based on the adoption of approved placing procedures.</w:t>
      </w:r>
    </w:p>
    <w:p w14:paraId="05AB7286" w14:textId="77777777" w:rsidR="006B0E50" w:rsidRDefault="006B0E50" w:rsidP="006B0E50">
      <w:pPr>
        <w:spacing w:before="200"/>
        <w:rPr>
          <w:lang w:val="en-AU"/>
        </w:rPr>
      </w:pPr>
      <w:r>
        <w:rPr>
          <w:lang w:val="en-AU"/>
        </w:rPr>
        <w:t>Such procedures shall include not less than 5 passes with a static steel wheeled roller with a minimum overall mass of 6 tonnes.</w:t>
      </w:r>
    </w:p>
    <w:p w14:paraId="1D553E85" w14:textId="77777777" w:rsidR="004705F1" w:rsidRDefault="00035166" w:rsidP="006B0E50">
      <w:pPr>
        <w:rPr>
          <w:lang w:val="en-AU"/>
        </w:rPr>
      </w:pPr>
      <w:r>
        <w:rPr>
          <w:noProof/>
          <w:snapToGrid/>
          <w:lang w:val="en-AU" w:eastAsia="en-AU"/>
        </w:rPr>
        <w:pict w14:anchorId="4F2E27D6">
          <v:shape id="_x0000_s1040" type="#_x0000_t202" style="position:absolute;margin-left:0;margin-top:779.65pt;width:481.9pt;height:36.85pt;z-index:-251657728;mso-wrap-distance-top:5.65pt;mso-position-horizontal:center;mso-position-horizontal-relative:page;mso-position-vertical-relative:page" stroked="f">
            <v:textbox style="mso-next-textbox:#_x0000_s1040" inset="0,,0">
              <w:txbxContent>
                <w:p w14:paraId="11B7F64A" w14:textId="77777777" w:rsidR="00446088" w:rsidRDefault="00446088" w:rsidP="000B5B92">
                  <w:pPr>
                    <w:pBdr>
                      <w:top w:val="single" w:sz="6" w:space="1" w:color="000000"/>
                    </w:pBdr>
                    <w:spacing w:line="60" w:lineRule="exact"/>
                    <w:jc w:val="right"/>
                    <w:rPr>
                      <w:b/>
                    </w:rPr>
                  </w:pPr>
                </w:p>
                <w:p w14:paraId="5970261C" w14:textId="6F26DC9F" w:rsidR="00446088" w:rsidRDefault="00446088" w:rsidP="000B5B92">
                  <w:pPr>
                    <w:pBdr>
                      <w:top w:val="single" w:sz="6" w:space="1" w:color="000000"/>
                    </w:pBdr>
                    <w:jc w:val="right"/>
                  </w:pPr>
                  <w:r>
                    <w:rPr>
                      <w:b/>
                    </w:rPr>
                    <w:t>©</w:t>
                  </w:r>
                  <w:r>
                    <w:t xml:space="preserve"> </w:t>
                  </w:r>
                  <w:r w:rsidR="00035166">
                    <w:t xml:space="preserve">Department of </w:t>
                  </w:r>
                  <w:proofErr w:type="gramStart"/>
                  <w:r w:rsidR="00035166">
                    <w:t>Transport</w:t>
                  </w:r>
                  <w:r>
                    <w:t xml:space="preserve">  </w:t>
                  </w:r>
                  <w:r w:rsidR="009863E4">
                    <w:t>December</w:t>
                  </w:r>
                  <w:proofErr w:type="gramEnd"/>
                  <w:r w:rsidR="009863E4">
                    <w:t xml:space="preserve"> 2018</w:t>
                  </w:r>
                </w:p>
                <w:p w14:paraId="3E72E6F9" w14:textId="77777777" w:rsidR="00446088" w:rsidRDefault="00446088" w:rsidP="000B5B92">
                  <w:pPr>
                    <w:jc w:val="right"/>
                  </w:pPr>
                  <w:r>
                    <w:t xml:space="preserve">Section 417 (Page 3 of </w:t>
                  </w:r>
                  <w:r w:rsidR="0014029C">
                    <w:t>3</w:t>
                  </w:r>
                  <w:r>
                    <w:t>)</w:t>
                  </w:r>
                </w:p>
                <w:p w14:paraId="5913C063" w14:textId="77777777" w:rsidR="00446088" w:rsidRDefault="00446088" w:rsidP="000B5B92">
                  <w:pPr>
                    <w:jc w:val="right"/>
                  </w:pPr>
                </w:p>
              </w:txbxContent>
            </v:textbox>
            <w10:wrap anchorx="page" anchory="page"/>
            <w10:anchorlock/>
          </v:shape>
        </w:pict>
      </w:r>
    </w:p>
    <w:sectPr w:rsidR="004705F1" w:rsidSect="007F35F6">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EEBF7" w14:textId="77777777" w:rsidR="00A5673E" w:rsidRDefault="00A5673E">
      <w:r>
        <w:separator/>
      </w:r>
    </w:p>
  </w:endnote>
  <w:endnote w:type="continuationSeparator" w:id="0">
    <w:p w14:paraId="6DA1D3A9" w14:textId="77777777" w:rsidR="00A5673E" w:rsidRDefault="00A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B293D" w14:textId="77777777" w:rsidR="00A5673E" w:rsidRDefault="00A5673E">
      <w:r>
        <w:separator/>
      </w:r>
    </w:p>
  </w:footnote>
  <w:footnote w:type="continuationSeparator" w:id="0">
    <w:p w14:paraId="050D47A4" w14:textId="77777777" w:rsidR="00A5673E" w:rsidRDefault="00A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6B9AE" w14:textId="0A415F03" w:rsidR="00446088" w:rsidRDefault="00035166">
    <w:pPr>
      <w:jc w:val="right"/>
      <w:rPr>
        <w:lang w:val="en-AU"/>
      </w:rPr>
    </w:pPr>
    <w:r>
      <w:rPr>
        <w:lang w:val="en-AU"/>
      </w:rPr>
      <w:t>Department of Transport</w:t>
    </w:r>
  </w:p>
  <w:p w14:paraId="62FE160F" w14:textId="77777777" w:rsidR="00446088" w:rsidRDefault="00446088" w:rsidP="006771BD">
    <w:pPr>
      <w:pBdr>
        <w:top w:val="single" w:sz="8" w:space="1" w:color="auto"/>
      </w:pBdr>
      <w:spacing w:line="16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BB3"/>
    <w:rsid w:val="00013B95"/>
    <w:rsid w:val="00035166"/>
    <w:rsid w:val="00046599"/>
    <w:rsid w:val="00072433"/>
    <w:rsid w:val="00077D2C"/>
    <w:rsid w:val="000B5B92"/>
    <w:rsid w:val="000B6C4E"/>
    <w:rsid w:val="0014029C"/>
    <w:rsid w:val="001A1D22"/>
    <w:rsid w:val="001B6D2C"/>
    <w:rsid w:val="001D56D6"/>
    <w:rsid w:val="001E3D4D"/>
    <w:rsid w:val="001F45C4"/>
    <w:rsid w:val="00202DA7"/>
    <w:rsid w:val="00256ECA"/>
    <w:rsid w:val="00273D30"/>
    <w:rsid w:val="002F06E8"/>
    <w:rsid w:val="00306FB1"/>
    <w:rsid w:val="00332CF6"/>
    <w:rsid w:val="00374F98"/>
    <w:rsid w:val="00376760"/>
    <w:rsid w:val="00381E6B"/>
    <w:rsid w:val="003A6CA1"/>
    <w:rsid w:val="003B417D"/>
    <w:rsid w:val="003D5B16"/>
    <w:rsid w:val="004152AD"/>
    <w:rsid w:val="004207CE"/>
    <w:rsid w:val="00420B1F"/>
    <w:rsid w:val="00433577"/>
    <w:rsid w:val="00446088"/>
    <w:rsid w:val="004705F1"/>
    <w:rsid w:val="004A276E"/>
    <w:rsid w:val="004E0C60"/>
    <w:rsid w:val="005431A0"/>
    <w:rsid w:val="00566BB3"/>
    <w:rsid w:val="0058248E"/>
    <w:rsid w:val="00586B38"/>
    <w:rsid w:val="00592807"/>
    <w:rsid w:val="005A190B"/>
    <w:rsid w:val="005A694C"/>
    <w:rsid w:val="0063054F"/>
    <w:rsid w:val="00634710"/>
    <w:rsid w:val="006638A5"/>
    <w:rsid w:val="006771BD"/>
    <w:rsid w:val="00685502"/>
    <w:rsid w:val="006B0E50"/>
    <w:rsid w:val="006C6005"/>
    <w:rsid w:val="0075763E"/>
    <w:rsid w:val="007663B3"/>
    <w:rsid w:val="00767F24"/>
    <w:rsid w:val="007E7FB0"/>
    <w:rsid w:val="007F04C2"/>
    <w:rsid w:val="007F35F6"/>
    <w:rsid w:val="00803DFD"/>
    <w:rsid w:val="00883D40"/>
    <w:rsid w:val="00896F21"/>
    <w:rsid w:val="008C1D6F"/>
    <w:rsid w:val="008C49FB"/>
    <w:rsid w:val="008E5B97"/>
    <w:rsid w:val="00922820"/>
    <w:rsid w:val="00930AB6"/>
    <w:rsid w:val="00957D5D"/>
    <w:rsid w:val="009632B6"/>
    <w:rsid w:val="00977CDA"/>
    <w:rsid w:val="009863E4"/>
    <w:rsid w:val="00A279B5"/>
    <w:rsid w:val="00A32988"/>
    <w:rsid w:val="00A45100"/>
    <w:rsid w:val="00A5673E"/>
    <w:rsid w:val="00A62500"/>
    <w:rsid w:val="00A62A2F"/>
    <w:rsid w:val="00A66351"/>
    <w:rsid w:val="00A70392"/>
    <w:rsid w:val="00A7121C"/>
    <w:rsid w:val="00AB7BE1"/>
    <w:rsid w:val="00B03CFE"/>
    <w:rsid w:val="00B4194E"/>
    <w:rsid w:val="00B5342B"/>
    <w:rsid w:val="00C40818"/>
    <w:rsid w:val="00C90CE4"/>
    <w:rsid w:val="00CB36FD"/>
    <w:rsid w:val="00CD1DB4"/>
    <w:rsid w:val="00CD4FE5"/>
    <w:rsid w:val="00CD5864"/>
    <w:rsid w:val="00D37EDB"/>
    <w:rsid w:val="00D6210B"/>
    <w:rsid w:val="00D8100F"/>
    <w:rsid w:val="00DA51DA"/>
    <w:rsid w:val="00DB0EDD"/>
    <w:rsid w:val="00DC3D01"/>
    <w:rsid w:val="00DD3574"/>
    <w:rsid w:val="00E01868"/>
    <w:rsid w:val="00E02B11"/>
    <w:rsid w:val="00E340D6"/>
    <w:rsid w:val="00E34D0A"/>
    <w:rsid w:val="00E62EAA"/>
    <w:rsid w:val="00EB13C9"/>
    <w:rsid w:val="00EC372C"/>
    <w:rsid w:val="00EC5AD5"/>
    <w:rsid w:val="00ED431E"/>
    <w:rsid w:val="00F048BC"/>
    <w:rsid w:val="00F81E06"/>
    <w:rsid w:val="00FA6429"/>
    <w:rsid w:val="00FB7194"/>
    <w:rsid w:val="00FF2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3EF3498"/>
  <w15:chartTrackingRefBased/>
  <w15:docId w15:val="{F729D37F-C79E-49FC-AB10-965192BC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760"/>
    <w:pPr>
      <w:widowControl w:val="0"/>
    </w:pPr>
    <w:rPr>
      <w:rFonts w:ascii="Arial" w:hAnsi="Arial"/>
      <w:snapToGrid w:val="0"/>
      <w:lang w:val="en-US" w:eastAsia="en-US"/>
    </w:rPr>
  </w:style>
  <w:style w:type="paragraph" w:styleId="Heading1">
    <w:name w:val="heading 1"/>
    <w:basedOn w:val="Normal"/>
    <w:next w:val="Normal"/>
    <w:qFormat/>
    <w:rsid w:val="00B4194E"/>
    <w:pPr>
      <w:keepNext/>
      <w:widowControl/>
      <w:outlineLvl w:val="0"/>
    </w:pPr>
    <w:rPr>
      <w:rFonts w:cs="Arial"/>
      <w:b/>
      <w:bCs/>
      <w:snapToGrid/>
      <w:sz w:val="28"/>
      <w:szCs w:val="32"/>
      <w:lang w:val="en-AU"/>
    </w:rPr>
  </w:style>
  <w:style w:type="paragraph" w:styleId="Heading2">
    <w:name w:val="heading 2"/>
    <w:basedOn w:val="Normal"/>
    <w:next w:val="Normal"/>
    <w:qFormat/>
    <w:rsid w:val="00B4194E"/>
    <w:pPr>
      <w:keepNext/>
      <w:widowControl/>
      <w:outlineLvl w:val="1"/>
    </w:pPr>
    <w:rPr>
      <w:rFonts w:cs="Arial"/>
      <w:b/>
      <w:bCs/>
      <w:iCs/>
      <w:snapToGrid/>
      <w:color w:val="000000"/>
      <w:sz w:val="28"/>
      <w:szCs w:val="28"/>
      <w:lang w:val="en-AU"/>
    </w:rPr>
  </w:style>
  <w:style w:type="paragraph" w:styleId="Heading3">
    <w:name w:val="heading 3"/>
    <w:basedOn w:val="Normal"/>
    <w:next w:val="Normal"/>
    <w:link w:val="Heading3Char"/>
    <w:qFormat/>
    <w:rsid w:val="00B4194E"/>
    <w:pPr>
      <w:keepNext/>
      <w:widowControl/>
      <w:numPr>
        <w:ilvl w:val="2"/>
        <w:numId w:val="4"/>
      </w:numPr>
      <w:outlineLvl w:val="2"/>
    </w:pPr>
    <w:rPr>
      <w:rFonts w:cs="Arial"/>
      <w:b/>
      <w:bCs/>
      <w:snapToGrid/>
      <w:szCs w:val="26"/>
      <w:lang w:val="en-AU"/>
    </w:rPr>
  </w:style>
  <w:style w:type="paragraph" w:styleId="Heading4">
    <w:name w:val="heading 4"/>
    <w:basedOn w:val="Normal"/>
    <w:next w:val="Normal"/>
    <w:link w:val="Heading4Char"/>
    <w:qFormat/>
    <w:rsid w:val="00B4194E"/>
    <w:pPr>
      <w:keepNext/>
      <w:widowControl/>
      <w:numPr>
        <w:ilvl w:val="3"/>
        <w:numId w:val="4"/>
      </w:numPr>
      <w:spacing w:after="200"/>
      <w:outlineLvl w:val="3"/>
    </w:pPr>
    <w:rPr>
      <w:b/>
      <w:bCs/>
      <w:snapToGrid/>
      <w:szCs w:val="28"/>
      <w:lang w:val="en-AU"/>
    </w:rPr>
  </w:style>
  <w:style w:type="paragraph" w:styleId="Heading5">
    <w:name w:val="heading 5"/>
    <w:basedOn w:val="Heading4"/>
    <w:next w:val="Normal"/>
    <w:qFormat/>
    <w:rsid w:val="00B4194E"/>
    <w:pPr>
      <w:numPr>
        <w:ilvl w:val="4"/>
      </w:numPr>
      <w:outlineLvl w:val="4"/>
    </w:pPr>
    <w:rPr>
      <w:b w:val="0"/>
      <w:bCs w:val="0"/>
      <w:szCs w:val="22"/>
    </w:rPr>
  </w:style>
  <w:style w:type="paragraph" w:styleId="Heading6">
    <w:name w:val="heading 6"/>
    <w:basedOn w:val="Normal"/>
    <w:next w:val="Normal"/>
    <w:link w:val="Heading6Char"/>
    <w:qFormat/>
    <w:rsid w:val="00B4194E"/>
    <w:pPr>
      <w:widowControl/>
      <w:numPr>
        <w:ilvl w:val="5"/>
        <w:numId w:val="4"/>
      </w:numPr>
      <w:spacing w:after="200"/>
      <w:outlineLvl w:val="5"/>
    </w:pPr>
    <w:rPr>
      <w:bCs/>
      <w:snapToGrid/>
      <w:szCs w:val="22"/>
      <w:lang w:val="en-AU"/>
    </w:rPr>
  </w:style>
  <w:style w:type="paragraph" w:styleId="Heading7">
    <w:name w:val="heading 7"/>
    <w:basedOn w:val="Normal"/>
    <w:next w:val="Normal"/>
    <w:qFormat/>
    <w:rsid w:val="00B4194E"/>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B4194E"/>
    <w:pPr>
      <w:widowControl/>
      <w:shd w:val="clear" w:color="auto" w:fill="000080"/>
    </w:pPr>
    <w:rPr>
      <w:rFonts w:ascii="Comic Sans MS" w:hAnsi="Comic Sans MS" w:cs="Tahoma"/>
      <w:snapToGrid/>
      <w:lang w:val="en-AU"/>
    </w:rPr>
  </w:style>
  <w:style w:type="paragraph" w:customStyle="1" w:styleId="Heading2SS">
    <w:name w:val="Heading 2 + SS"/>
    <w:basedOn w:val="Heading2"/>
    <w:rsid w:val="006771BD"/>
    <w:pPr>
      <w:keepNext w:val="0"/>
      <w:widowControl w:val="0"/>
      <w:tabs>
        <w:tab w:val="left" w:pos="1985"/>
        <w:tab w:val="left" w:pos="2268"/>
      </w:tabs>
      <w:ind w:left="2268" w:hanging="2268"/>
    </w:pPr>
  </w:style>
  <w:style w:type="paragraph" w:customStyle="1" w:styleId="Heading3SS">
    <w:name w:val="Heading 3 + SS"/>
    <w:basedOn w:val="Heading3"/>
    <w:link w:val="Heading3SSChar"/>
    <w:rsid w:val="006771BD"/>
    <w:pPr>
      <w:keepNext w:val="0"/>
      <w:numPr>
        <w:ilvl w:val="0"/>
        <w:numId w:val="0"/>
      </w:numPr>
      <w:tabs>
        <w:tab w:val="left" w:pos="851"/>
      </w:tabs>
      <w:ind w:left="851" w:hanging="851"/>
    </w:pPr>
  </w:style>
  <w:style w:type="character" w:customStyle="1" w:styleId="Heading3Char">
    <w:name w:val="Heading 3 Char"/>
    <w:link w:val="Heading3"/>
    <w:rsid w:val="00B4194E"/>
    <w:rPr>
      <w:rFonts w:cs="Arial"/>
      <w:b/>
      <w:bCs/>
      <w:szCs w:val="26"/>
      <w:lang w:val="en-AU" w:eastAsia="en-US" w:bidi="ar-SA"/>
    </w:rPr>
  </w:style>
  <w:style w:type="character" w:customStyle="1" w:styleId="Heading3SSChar">
    <w:name w:val="Heading 3 + SS Char"/>
    <w:link w:val="Heading3SS"/>
    <w:rsid w:val="006771BD"/>
    <w:rPr>
      <w:rFonts w:ascii="Arial" w:hAnsi="Arial" w:cs="Arial"/>
      <w:b/>
      <w:bCs/>
      <w:szCs w:val="26"/>
      <w:lang w:val="en-AU" w:eastAsia="en-US" w:bidi="ar-SA"/>
    </w:rPr>
  </w:style>
  <w:style w:type="character" w:customStyle="1" w:styleId="Heading4Char">
    <w:name w:val="Heading 4 Char"/>
    <w:link w:val="Heading4"/>
    <w:rsid w:val="00B4194E"/>
    <w:rPr>
      <w:b/>
      <w:bCs/>
      <w:szCs w:val="28"/>
      <w:lang w:val="en-AU" w:eastAsia="en-US" w:bidi="ar-SA"/>
    </w:rPr>
  </w:style>
  <w:style w:type="paragraph" w:customStyle="1" w:styleId="Heading5SS">
    <w:name w:val="Heading 5 +SS"/>
    <w:basedOn w:val="Heading5"/>
    <w:rsid w:val="006771BD"/>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B4194E"/>
    <w:rPr>
      <w:bCs/>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417</vt:lpstr>
    </vt:vector>
  </TitlesOfParts>
  <Company>VicRoads</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417</dc:title>
  <dc:subject>Open Graded Asphalt</dc:subject>
  <dc:creator>VicRoads</dc:creator>
  <cp:keywords/>
  <dc:description/>
  <cp:lastModifiedBy>Robyn Robb</cp:lastModifiedBy>
  <cp:revision>3</cp:revision>
  <cp:lastPrinted>2016-03-16T23:22:00Z</cp:lastPrinted>
  <dcterms:created xsi:type="dcterms:W3CDTF">2019-12-04T23:22:00Z</dcterms:created>
  <dcterms:modified xsi:type="dcterms:W3CDTF">2021-03-03T22:57:00Z</dcterms:modified>
</cp:coreProperties>
</file>