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8F91C" w14:textId="77777777" w:rsidR="006E5B1D" w:rsidRPr="0033792C" w:rsidRDefault="006E5B1D" w:rsidP="00F96629">
      <w:pPr>
        <w:pStyle w:val="Heading2SS"/>
      </w:pPr>
      <w:r w:rsidRPr="001852A9">
        <w:t>SECTION 706</w:t>
      </w:r>
      <w:r w:rsidRPr="001852A9">
        <w:tab/>
        <w:t>-</w:t>
      </w:r>
      <w:r w:rsidRPr="001852A9">
        <w:tab/>
        <w:t xml:space="preserve">INSTALLATION </w:t>
      </w:r>
      <w:r w:rsidR="004F1C2B">
        <w:t xml:space="preserve">OR REPLACEMENT </w:t>
      </w:r>
      <w:r w:rsidRPr="001852A9">
        <w:t xml:space="preserve">OF UTILITY </w:t>
      </w:r>
      <w:r w:rsidR="004F1C2B">
        <w:t>INFRASTRUCTURE</w:t>
      </w:r>
      <w:r w:rsidRPr="001852A9">
        <w:t xml:space="preserve"> WITHIN ROAD RESERVES</w:t>
      </w:r>
      <w:r w:rsidRPr="00374222">
        <w:rPr>
          <w:b w:val="0"/>
          <w:sz w:val="20"/>
        </w:rPr>
        <w:fldChar w:fldCharType="begin"/>
      </w:r>
      <w:r w:rsidRPr="00374222">
        <w:rPr>
          <w:b w:val="0"/>
          <w:sz w:val="20"/>
        </w:rPr>
        <w:instrText>tc \l1 "SECTION</w:instrText>
      </w:r>
      <w:r w:rsidR="001852A9" w:rsidRPr="00374222">
        <w:rPr>
          <w:b w:val="0"/>
          <w:sz w:val="20"/>
        </w:rPr>
        <w:instrText xml:space="preserve"> </w:instrText>
      </w:r>
      <w:r w:rsidRPr="00374222">
        <w:rPr>
          <w:b w:val="0"/>
          <w:sz w:val="20"/>
        </w:rPr>
        <w:instrText>706</w:instrText>
      </w:r>
      <w:r w:rsidR="001852A9" w:rsidRPr="00374222">
        <w:rPr>
          <w:b w:val="0"/>
          <w:sz w:val="20"/>
        </w:rPr>
        <w:instrText xml:space="preserve">  </w:instrText>
      </w:r>
      <w:r w:rsidRPr="00374222">
        <w:rPr>
          <w:b w:val="0"/>
          <w:sz w:val="20"/>
        </w:rPr>
        <w:instrText>-</w:instrText>
      </w:r>
      <w:r w:rsidR="001852A9" w:rsidRPr="00374222">
        <w:rPr>
          <w:b w:val="0"/>
          <w:sz w:val="20"/>
        </w:rPr>
        <w:instrText xml:space="preserve">  </w:instrText>
      </w:r>
      <w:r w:rsidRPr="00374222">
        <w:rPr>
          <w:b w:val="0"/>
          <w:sz w:val="20"/>
        </w:rPr>
        <w:instrText xml:space="preserve">INSTALLATION </w:instrText>
      </w:r>
      <w:r w:rsidR="00E174F0" w:rsidRPr="00374222">
        <w:rPr>
          <w:b w:val="0"/>
          <w:sz w:val="20"/>
        </w:rPr>
        <w:instrText xml:space="preserve">OR REPLACEMENT </w:instrText>
      </w:r>
      <w:r w:rsidRPr="00374222">
        <w:rPr>
          <w:b w:val="0"/>
          <w:sz w:val="20"/>
        </w:rPr>
        <w:instrText xml:space="preserve">OF UTILITY </w:instrText>
      </w:r>
      <w:r w:rsidR="00E174F0" w:rsidRPr="00374222">
        <w:rPr>
          <w:b w:val="0"/>
          <w:sz w:val="20"/>
        </w:rPr>
        <w:instrText>INFRASTRUCTURE</w:instrText>
      </w:r>
      <w:r w:rsidRPr="00374222">
        <w:rPr>
          <w:b w:val="0"/>
          <w:sz w:val="20"/>
        </w:rPr>
        <w:instrText xml:space="preserve"> WITHIN ROAD RESERVES</w:instrText>
      </w:r>
      <w:r w:rsidRPr="00374222">
        <w:rPr>
          <w:b w:val="0"/>
          <w:sz w:val="20"/>
        </w:rPr>
        <w:fldChar w:fldCharType="end"/>
      </w:r>
    </w:p>
    <w:p w14:paraId="62D959E6" w14:textId="77777777" w:rsidR="006E5B1D" w:rsidRDefault="006E5B1D" w:rsidP="000C3CAD">
      <w:pPr>
        <w:spacing w:line="120" w:lineRule="exact"/>
      </w:pPr>
    </w:p>
    <w:p w14:paraId="475AA545" w14:textId="77777777" w:rsidR="00D56893" w:rsidRDefault="00D56893" w:rsidP="00D56893"/>
    <w:p w14:paraId="7B83244D" w14:textId="77777777" w:rsidR="00E2116A" w:rsidRPr="000C3CAD" w:rsidRDefault="00E2116A" w:rsidP="00E2116A">
      <w:pPr>
        <w:rPr>
          <w:sz w:val="18"/>
          <w:szCs w:val="18"/>
        </w:rPr>
      </w:pPr>
      <w:r w:rsidRPr="000C3CAD">
        <w:rPr>
          <w:sz w:val="18"/>
          <w:szCs w:val="18"/>
        </w:rPr>
        <w:t>##This section cross-references Section 173.</w:t>
      </w:r>
    </w:p>
    <w:p w14:paraId="71148ED0" w14:textId="77777777" w:rsidR="00E2116A" w:rsidRPr="000C3CAD" w:rsidRDefault="00E2116A" w:rsidP="00E2116A">
      <w:pPr>
        <w:rPr>
          <w:sz w:val="18"/>
          <w:szCs w:val="18"/>
        </w:rPr>
      </w:pPr>
      <w:r w:rsidRPr="000C3CAD">
        <w:rPr>
          <w:sz w:val="18"/>
          <w:szCs w:val="18"/>
        </w:rPr>
        <w:t>If Section 173 is relevant, it should be included in the specification.</w:t>
      </w:r>
    </w:p>
    <w:p w14:paraId="3CB7B0AF" w14:textId="77777777" w:rsidR="00E2116A" w:rsidRPr="000C3CAD" w:rsidRDefault="00E2116A" w:rsidP="00E2116A">
      <w:pPr>
        <w:rPr>
          <w:sz w:val="18"/>
          <w:szCs w:val="18"/>
        </w:rPr>
      </w:pPr>
      <w:r w:rsidRPr="000C3CAD">
        <w:rPr>
          <w:sz w:val="18"/>
          <w:szCs w:val="18"/>
        </w:rPr>
        <w:t>If Section 173 is not included in the specification, all references to it should be struck out, ensuring that the remaining text is still coherent:</w:t>
      </w:r>
    </w:p>
    <w:p w14:paraId="6E01EB6F" w14:textId="77777777" w:rsidR="006E5B1D" w:rsidRDefault="006E5B1D" w:rsidP="00D56893"/>
    <w:p w14:paraId="5AB1F490" w14:textId="77777777" w:rsidR="00E17D05" w:rsidRDefault="00E17D05" w:rsidP="00D56893"/>
    <w:p w14:paraId="7800203C" w14:textId="77777777" w:rsidR="00D56893" w:rsidRDefault="00D56893" w:rsidP="00D56893"/>
    <w:p w14:paraId="37E19B87" w14:textId="77777777" w:rsidR="006E5B1D" w:rsidRDefault="006E5B1D" w:rsidP="00D77C99">
      <w:pPr>
        <w:pStyle w:val="Heading3SS"/>
      </w:pPr>
      <w:r>
        <w:t>7</w:t>
      </w:r>
      <w:bookmarkStart w:id="0" w:name="np706"/>
      <w:bookmarkEnd w:id="0"/>
      <w:r>
        <w:t>06.01</w:t>
      </w:r>
      <w:r>
        <w:tab/>
        <w:t>DESCRIPTION</w:t>
      </w:r>
    </w:p>
    <w:p w14:paraId="65185C16" w14:textId="77777777" w:rsidR="006E5B1D" w:rsidRDefault="001336E7" w:rsidP="00B14F6C">
      <w:pPr>
        <w:spacing w:before="180"/>
      </w:pPr>
      <w:r>
        <w:t>This section covers requirements for the installation or replacement of utility infrastructure (e.g. conduits, pipes, service pits, poles, aerial services/cables) within the road reserve of an arterial road or freeway, as shown on the drawings, or as specified.</w:t>
      </w:r>
    </w:p>
    <w:p w14:paraId="7291B438" w14:textId="77777777" w:rsidR="006E5B1D" w:rsidRDefault="006E5B1D" w:rsidP="004D6E7B"/>
    <w:p w14:paraId="5ABBCEB0" w14:textId="77777777" w:rsidR="006E5B1D" w:rsidRDefault="006E5B1D" w:rsidP="00D56893"/>
    <w:p w14:paraId="71F52A00" w14:textId="77777777" w:rsidR="006E5B1D" w:rsidRDefault="006E5B1D" w:rsidP="00D77C99">
      <w:pPr>
        <w:pStyle w:val="Heading3SS"/>
      </w:pPr>
      <w:r>
        <w:t>706.02</w:t>
      </w:r>
      <w:r>
        <w:tab/>
      </w:r>
      <w:r w:rsidR="00D77C99">
        <w:t>LEGISLATIVE FRAMEWORK</w:t>
      </w:r>
    </w:p>
    <w:p w14:paraId="655929B3" w14:textId="77777777" w:rsidR="005B0969" w:rsidRDefault="005B0969" w:rsidP="000C3CAD">
      <w:pPr>
        <w:spacing w:before="180"/>
      </w:pPr>
      <w:r>
        <w:t xml:space="preserve">The management principles and practices applying to utilities and road authorities for the installation, maintenance, replacement and operation of utility infrastructure within road reserves are set out in the </w:t>
      </w:r>
      <w:r w:rsidRPr="005B0969">
        <w:t>Road Management Act</w:t>
      </w:r>
      <w:r w:rsidR="00D77C99">
        <w:t> </w:t>
      </w:r>
      <w:r w:rsidRPr="005B0969">
        <w:t>2004</w:t>
      </w:r>
      <w:r>
        <w:t>, Road Management (Works and Infrastructure) Regulations</w:t>
      </w:r>
      <w:r w:rsidR="00D77C99">
        <w:t> </w:t>
      </w:r>
      <w:r>
        <w:t xml:space="preserve">2005 and the </w:t>
      </w:r>
      <w:r w:rsidRPr="005B0969">
        <w:t>Code of Practice for Management of Infrastructure in Road Reserves</w:t>
      </w:r>
      <w:r w:rsidR="00D77C99">
        <w:t xml:space="preserve"> (Victoria Government Gazette </w:t>
      </w:r>
      <w:r>
        <w:t>No.</w:t>
      </w:r>
      <w:r w:rsidR="00D77C99">
        <w:t> </w:t>
      </w:r>
      <w:r>
        <w:t>S</w:t>
      </w:r>
      <w:r w:rsidR="00D77C99">
        <w:t> </w:t>
      </w:r>
      <w:r>
        <w:t xml:space="preserve">269 </w:t>
      </w:r>
      <w:r w:rsidR="00C02C2B">
        <w:t>Mond</w:t>
      </w:r>
      <w:r w:rsidR="00897731">
        <w:t>ay</w:t>
      </w:r>
      <w:r>
        <w:t xml:space="preserve"> </w:t>
      </w:r>
      <w:r w:rsidR="00C02C2B">
        <w:t>6</w:t>
      </w:r>
      <w:r w:rsidR="00D77C99">
        <w:t> </w:t>
      </w:r>
      <w:r w:rsidR="00C02C2B">
        <w:t>October</w:t>
      </w:r>
      <w:r w:rsidR="00D77C99">
        <w:t> </w:t>
      </w:r>
      <w:r>
        <w:t>20</w:t>
      </w:r>
      <w:r w:rsidR="00C02C2B">
        <w:t>08</w:t>
      </w:r>
      <w:r>
        <w:t>).</w:t>
      </w:r>
    </w:p>
    <w:p w14:paraId="28A1A0DB" w14:textId="77777777" w:rsidR="005B0969" w:rsidRDefault="005B0969" w:rsidP="000C3CAD">
      <w:pPr>
        <w:spacing w:before="180"/>
      </w:pPr>
      <w:r>
        <w:t>All planning, design and installation or replacement of utility infrastructure, as shown on the drawings, or as specified, shall be carried out in accordance with the requirements set out in the above legislative framework and the additional requirements specified in this section.</w:t>
      </w:r>
    </w:p>
    <w:p w14:paraId="5BA4A974" w14:textId="77777777" w:rsidR="005B0969" w:rsidRDefault="005B0969" w:rsidP="000C3CAD">
      <w:pPr>
        <w:spacing w:before="180"/>
      </w:pPr>
      <w:r>
        <w:t>Any consultation required with, and authorisation required from, other authorities under relevant utility regulations and codes shall be the responsibility of the Contractor.</w:t>
      </w:r>
    </w:p>
    <w:p w14:paraId="5705B44F" w14:textId="77777777" w:rsidR="006E5B1D" w:rsidRDefault="006E5B1D" w:rsidP="00D77C99"/>
    <w:p w14:paraId="10E32D7E" w14:textId="77777777" w:rsidR="006E5B1D" w:rsidRDefault="006E5B1D" w:rsidP="00D77C99"/>
    <w:p w14:paraId="7654F8BC" w14:textId="77777777" w:rsidR="006E5B1D" w:rsidRDefault="006E5B1D" w:rsidP="00D77C99">
      <w:pPr>
        <w:pStyle w:val="Heading3SS"/>
      </w:pPr>
      <w:r w:rsidRPr="0033792C">
        <w:t>7</w:t>
      </w:r>
      <w:r>
        <w:t>06.03</w:t>
      </w:r>
      <w:r>
        <w:tab/>
      </w:r>
      <w:r w:rsidR="00D77C99">
        <w:t>POSITIONING, DEPTH AND HEIGHT CLEARANCE</w:t>
      </w:r>
    </w:p>
    <w:p w14:paraId="34D74CD1" w14:textId="77777777" w:rsidR="00D77C99" w:rsidRDefault="00D77C99" w:rsidP="000C3CAD">
      <w:pPr>
        <w:spacing w:before="180"/>
      </w:pPr>
      <w:r>
        <w:t>All utility infrastructure within road reserves shall be clear of road carriageways and parallel or at right angles to the centreline of road carriageways unless otherwise agreed with the Superintendent.</w:t>
      </w:r>
    </w:p>
    <w:p w14:paraId="42AAC5F7" w14:textId="77777777" w:rsidR="00D77C99" w:rsidRDefault="00D77C99" w:rsidP="000C3CAD">
      <w:pPr>
        <w:spacing w:before="180"/>
      </w:pPr>
      <w:r>
        <w:t>Aerial services shall have a minimum height clearance of 5.5 m above the finished road surface level or the natural surface.  Poles for aerial services shall have a minimum lateral clearance of 3 m from the edge of carriageway in urban areas and 9 m in rural areas, except where frangible poles are used.</w:t>
      </w:r>
    </w:p>
    <w:p w14:paraId="2C797EFB" w14:textId="77777777" w:rsidR="00D77C99" w:rsidRDefault="00D77C99" w:rsidP="000C3CAD">
      <w:pPr>
        <w:spacing w:before="180"/>
      </w:pPr>
      <w:r>
        <w:t>Unless otherwise shown on the drawings or specified, utility infrastructure and associated conduits installed under road carriageways for freeways and arterial roads shall be at depths to provide the following cover over the top of the infrastructure (including conduit):</w:t>
      </w:r>
    </w:p>
    <w:p w14:paraId="4C092C63" w14:textId="77777777" w:rsidR="00D77C99" w:rsidRDefault="00D77C99" w:rsidP="004D6E7B">
      <w:pPr>
        <w:tabs>
          <w:tab w:val="left" w:pos="454"/>
        </w:tabs>
        <w:spacing w:before="120"/>
        <w:ind w:left="454" w:hanging="454"/>
      </w:pPr>
      <w:r>
        <w:t>(a)</w:t>
      </w:r>
      <w:r>
        <w:tab/>
        <w:t>1200 mm minimum cover to the finished road surface level; and</w:t>
      </w:r>
    </w:p>
    <w:p w14:paraId="16F8BD91" w14:textId="77777777" w:rsidR="00D77C99" w:rsidRDefault="00D77C99" w:rsidP="004D6E7B">
      <w:pPr>
        <w:tabs>
          <w:tab w:val="left" w:pos="454"/>
        </w:tabs>
        <w:spacing w:before="120"/>
        <w:ind w:left="454" w:hanging="454"/>
      </w:pPr>
      <w:r>
        <w:t>(b)</w:t>
      </w:r>
      <w:r>
        <w:tab/>
        <w:t>750 mm minimum cover to the invert level of road carriageway open drains.</w:t>
      </w:r>
    </w:p>
    <w:p w14:paraId="5F8D10DB" w14:textId="77777777" w:rsidR="006E5B1D" w:rsidRDefault="006E5B1D" w:rsidP="00D77C99"/>
    <w:p w14:paraId="41CC8FB4" w14:textId="77777777" w:rsidR="00D77C99" w:rsidRDefault="00D77C99" w:rsidP="00D77C99"/>
    <w:p w14:paraId="5FB1C6AD" w14:textId="77777777" w:rsidR="006E5B1D" w:rsidRDefault="006E5B1D" w:rsidP="0033792C">
      <w:pPr>
        <w:pStyle w:val="Heading3SS"/>
      </w:pPr>
      <w:r>
        <w:t>706.04</w:t>
      </w:r>
      <w:r>
        <w:tab/>
        <w:t>BORING UNDER CARRIAGEWAYS</w:t>
      </w:r>
    </w:p>
    <w:p w14:paraId="421FD654" w14:textId="77777777" w:rsidR="0056414C" w:rsidRDefault="0056414C" w:rsidP="000C3CAD">
      <w:pPr>
        <w:spacing w:before="180"/>
      </w:pPr>
      <w:r>
        <w:t>Unless otherwise specified or approved by the Superintendent, all utility infrastructure (including conduits) under road carriageways shall be installed by boring.</w:t>
      </w:r>
    </w:p>
    <w:p w14:paraId="5A6E3B8A" w14:textId="77777777" w:rsidR="0056414C" w:rsidRPr="005A2C8F" w:rsidRDefault="0056414C" w:rsidP="000C3CAD">
      <w:pPr>
        <w:spacing w:before="180"/>
        <w:rPr>
          <w:b/>
          <w:strike/>
        </w:rPr>
      </w:pPr>
      <w:r w:rsidRPr="005A2C8F">
        <w:rPr>
          <w:b/>
        </w:rPr>
        <w:t xml:space="preserve">Detailed proposals for boring under carriageways or alternative underground methods proposed by the Contractor shall be submitted to the Superintendent for review </w:t>
      </w:r>
      <w:r>
        <w:rPr>
          <w:b/>
        </w:rPr>
        <w:t xml:space="preserve">two </w:t>
      </w:r>
      <w:r w:rsidRPr="005A2C8F">
        <w:rPr>
          <w:b/>
        </w:rPr>
        <w:t>weeks prior to the programmed commencement of work</w:t>
      </w:r>
      <w:r>
        <w:rPr>
          <w:b/>
        </w:rPr>
        <w:t>.</w:t>
      </w:r>
    </w:p>
    <w:p w14:paraId="51EF13F8" w14:textId="77777777" w:rsidR="0056414C" w:rsidRDefault="0056414C" w:rsidP="000C3CAD">
      <w:pPr>
        <w:spacing w:before="180"/>
      </w:pPr>
      <w:r>
        <w:t>Unless otherwise specified, boring by water jetting will not be permitted.</w:t>
      </w:r>
    </w:p>
    <w:p w14:paraId="5BDDEE14" w14:textId="77777777" w:rsidR="0056414C" w:rsidRDefault="0056414C" w:rsidP="000C3CAD">
      <w:pPr>
        <w:spacing w:before="180"/>
      </w:pPr>
      <w:r>
        <w:t>Unless otherwise specified, the annulus between the bore and the pipe or carrier-conduit shall be filled by pressure grouting.</w:t>
      </w:r>
    </w:p>
    <w:p w14:paraId="6C035F10" w14:textId="77777777" w:rsidR="006E5B1D" w:rsidRPr="00D56893" w:rsidRDefault="0068286B" w:rsidP="00D56893">
      <w:r>
        <w:rPr>
          <w:b/>
          <w:noProof/>
        </w:rPr>
        <w:pict w14:anchorId="37EB6FDC">
          <v:shapetype id="_x0000_t202" coordsize="21600,21600" o:spt="202" path="m,l,21600r21600,l21600,xe">
            <v:stroke joinstyle="miter"/>
            <v:path gradientshapeok="t" o:connecttype="rect"/>
          </v:shapetype>
          <v:shape id="_x0000_s1029" type="#_x0000_t202" style="position:absolute;margin-left:0;margin-top:779.65pt;width:481.9pt;height:36.85pt;z-index:-251660288;mso-wrap-distance-top:5.65pt;mso-position-horizontal:center;mso-position-horizontal-relative:page;mso-position-vertical-relative:page" stroked="f">
            <v:textbox style="mso-next-textbox:#_x0000_s1029" inset="0,,0">
              <w:txbxContent>
                <w:p w14:paraId="4E3FE9FD" w14:textId="77777777" w:rsidR="00D56893" w:rsidRDefault="00D56893" w:rsidP="009850E8">
                  <w:pPr>
                    <w:pBdr>
                      <w:top w:val="single" w:sz="6" w:space="1" w:color="000000"/>
                    </w:pBdr>
                    <w:spacing w:line="60" w:lineRule="exact"/>
                    <w:jc w:val="right"/>
                    <w:rPr>
                      <w:b/>
                    </w:rPr>
                  </w:pPr>
                </w:p>
                <w:p w14:paraId="050079B0" w14:textId="4245A086" w:rsidR="00D56893" w:rsidRDefault="00D56893" w:rsidP="009850E8">
                  <w:pPr>
                    <w:pBdr>
                      <w:top w:val="single" w:sz="6" w:space="1" w:color="000000"/>
                    </w:pBdr>
                    <w:jc w:val="right"/>
                  </w:pPr>
                  <w:r>
                    <w:rPr>
                      <w:b/>
                    </w:rPr>
                    <w:t>©</w:t>
                  </w:r>
                  <w:r>
                    <w:t xml:space="preserve"> </w:t>
                  </w:r>
                  <w:r w:rsidR="0068286B">
                    <w:t>Department of Transport</w:t>
                  </w:r>
                  <w:r>
                    <w:t xml:space="preserve">  December 2014</w:t>
                  </w:r>
                </w:p>
                <w:p w14:paraId="7E490231" w14:textId="77777777" w:rsidR="00D56893" w:rsidRDefault="00D56893" w:rsidP="009850E8">
                  <w:pPr>
                    <w:jc w:val="right"/>
                  </w:pPr>
                  <w:r>
                    <w:t>Section 706 (Page 1 of 4)</w:t>
                  </w:r>
                </w:p>
                <w:p w14:paraId="51E606EA" w14:textId="77777777" w:rsidR="00D56893" w:rsidRDefault="00D56893" w:rsidP="009850E8">
                  <w:pPr>
                    <w:jc w:val="right"/>
                  </w:pPr>
                </w:p>
              </w:txbxContent>
            </v:textbox>
            <w10:wrap anchorx="page" anchory="page"/>
            <w10:anchorlock/>
          </v:shape>
        </w:pict>
      </w:r>
      <w:r w:rsidR="006E5B1D">
        <w:rPr>
          <w:b/>
        </w:rPr>
        <w:br w:type="page"/>
      </w:r>
    </w:p>
    <w:p w14:paraId="5862D4EF" w14:textId="77777777" w:rsidR="0056414C" w:rsidRDefault="00534473" w:rsidP="0056414C">
      <w:pPr>
        <w:pStyle w:val="Heading3SS"/>
      </w:pPr>
      <w:r>
        <w:t>706.05</w:t>
      </w:r>
      <w:r w:rsidR="0056414C">
        <w:tab/>
        <w:t>EXCAVATION</w:t>
      </w:r>
    </w:p>
    <w:p w14:paraId="628FB2DC" w14:textId="77777777" w:rsidR="00534473" w:rsidRDefault="00534473" w:rsidP="00D56893">
      <w:pPr>
        <w:spacing w:before="180"/>
      </w:pPr>
      <w:r>
        <w:t>Where the open trench method of crossing under a carriageway pavement is accepted, the line of the trench shall be straight, at right angles to the carriageway, and form the shortest link between terminals wherever practical.  The width of trench shall be not greater than that necessary to carry out the work.</w:t>
      </w:r>
    </w:p>
    <w:p w14:paraId="3DCD7A30" w14:textId="77777777" w:rsidR="00534473" w:rsidRDefault="00534473" w:rsidP="00D56893">
      <w:pPr>
        <w:spacing w:before="180"/>
      </w:pPr>
      <w:r>
        <w:t>The edges of all trenches located within a road pavement shall be sawcut.</w:t>
      </w:r>
    </w:p>
    <w:p w14:paraId="0ED55C3B" w14:textId="77777777" w:rsidR="00534473" w:rsidRDefault="00534473" w:rsidP="00D56893">
      <w:pPr>
        <w:spacing w:before="180"/>
      </w:pPr>
      <w:r>
        <w:t>Any infrastructure located within the road reserve that is disturbed as a result of the work shall be reported immediately to the Superintendent and shall be reinstated promptly in consultation with the relevant infrastructure manager.</w:t>
      </w:r>
    </w:p>
    <w:p w14:paraId="2A400047" w14:textId="77777777" w:rsidR="0056414C" w:rsidRDefault="0056414C" w:rsidP="00D56893"/>
    <w:p w14:paraId="74576A26" w14:textId="77777777" w:rsidR="0056414C" w:rsidRDefault="0056414C" w:rsidP="00D56893"/>
    <w:p w14:paraId="58902326" w14:textId="77777777" w:rsidR="006E5B1D" w:rsidRDefault="00534473" w:rsidP="0033792C">
      <w:pPr>
        <w:pStyle w:val="Heading3SS"/>
      </w:pPr>
      <w:r>
        <w:t>706.06</w:t>
      </w:r>
      <w:r w:rsidR="006E5B1D">
        <w:tab/>
        <w:t>MATERIALS</w:t>
      </w:r>
    </w:p>
    <w:p w14:paraId="2CA13FA6" w14:textId="77777777" w:rsidR="006E5B1D" w:rsidRDefault="006E5B1D" w:rsidP="00D56893">
      <w:pPr>
        <w:spacing w:before="180"/>
      </w:pPr>
      <w:r>
        <w:t>Unless otherwise specified, materials used for bedding and backfilling shall be uniform in composition and free from perishable matter and shall comply with the requir</w:t>
      </w:r>
      <w:r w:rsidR="00534473">
        <w:t>ements specified in Table 706.06</w:t>
      </w:r>
      <w:r>
        <w:t>1.</w:t>
      </w:r>
    </w:p>
    <w:p w14:paraId="41138AC9" w14:textId="77777777" w:rsidR="006E5B1D" w:rsidRPr="003D07DE" w:rsidRDefault="00534473" w:rsidP="00F7019B">
      <w:pPr>
        <w:spacing w:before="120" w:after="40"/>
        <w:rPr>
          <w:b/>
        </w:rPr>
      </w:pPr>
      <w:r w:rsidRPr="003D07DE">
        <w:rPr>
          <w:b/>
        </w:rPr>
        <w:t>Table 706.06</w:t>
      </w:r>
      <w:r w:rsidR="006E5B1D" w:rsidRPr="003D07DE">
        <w:rPr>
          <w:b/>
        </w:rPr>
        <w:t>1</w:t>
      </w:r>
      <w:r w:rsidRPr="003D07DE">
        <w:rPr>
          <w:b/>
        </w:rPr>
        <w:t xml:space="preserve">  Material Properties</w:t>
      </w:r>
    </w:p>
    <w:tbl>
      <w:tblPr>
        <w:tblW w:w="0" w:type="auto"/>
        <w:jc w:val="center"/>
        <w:tblLayout w:type="fixed"/>
        <w:tblCellMar>
          <w:top w:w="102" w:type="dxa"/>
          <w:left w:w="85" w:type="dxa"/>
          <w:bottom w:w="28" w:type="dxa"/>
          <w:right w:w="85" w:type="dxa"/>
        </w:tblCellMar>
        <w:tblLook w:val="0000" w:firstRow="0" w:lastRow="0" w:firstColumn="0" w:lastColumn="0" w:noHBand="0" w:noVBand="0"/>
      </w:tblPr>
      <w:tblGrid>
        <w:gridCol w:w="1927"/>
        <w:gridCol w:w="850"/>
        <w:gridCol w:w="851"/>
        <w:gridCol w:w="850"/>
        <w:gridCol w:w="993"/>
        <w:gridCol w:w="992"/>
        <w:gridCol w:w="709"/>
        <w:gridCol w:w="708"/>
      </w:tblGrid>
      <w:tr w:rsidR="006E5B1D" w:rsidRPr="009850E8" w14:paraId="7CC35F7F" w14:textId="77777777" w:rsidTr="005B0C4D">
        <w:trPr>
          <w:jc w:val="center"/>
        </w:trPr>
        <w:tc>
          <w:tcPr>
            <w:tcW w:w="1927" w:type="dxa"/>
            <w:vMerge w:val="restart"/>
            <w:tcBorders>
              <w:top w:val="single" w:sz="12" w:space="0" w:color="auto"/>
              <w:left w:val="single" w:sz="12" w:space="0" w:color="auto"/>
              <w:right w:val="single" w:sz="8" w:space="0" w:color="auto"/>
            </w:tcBorders>
            <w:vAlign w:val="center"/>
          </w:tcPr>
          <w:p w14:paraId="25C025CD" w14:textId="77777777" w:rsidR="006E5B1D" w:rsidRPr="009850E8" w:rsidRDefault="006E5B1D" w:rsidP="001852A9">
            <w:pPr>
              <w:jc w:val="center"/>
              <w:rPr>
                <w:b/>
              </w:rPr>
            </w:pPr>
            <w:r w:rsidRPr="009850E8">
              <w:rPr>
                <w:b/>
              </w:rPr>
              <w:t>Material</w:t>
            </w:r>
          </w:p>
        </w:tc>
        <w:tc>
          <w:tcPr>
            <w:tcW w:w="4536" w:type="dxa"/>
            <w:gridSpan w:val="5"/>
            <w:tcBorders>
              <w:top w:val="single" w:sz="12" w:space="0" w:color="auto"/>
              <w:left w:val="nil"/>
              <w:bottom w:val="single" w:sz="8" w:space="0" w:color="auto"/>
              <w:right w:val="single" w:sz="8" w:space="0" w:color="auto"/>
            </w:tcBorders>
            <w:vAlign w:val="center"/>
          </w:tcPr>
          <w:p w14:paraId="5776E8B6" w14:textId="77777777" w:rsidR="006E5B1D" w:rsidRPr="009850E8" w:rsidRDefault="006E5B1D" w:rsidP="001852A9">
            <w:pPr>
              <w:jc w:val="center"/>
              <w:rPr>
                <w:b/>
              </w:rPr>
            </w:pPr>
            <w:r w:rsidRPr="009850E8">
              <w:rPr>
                <w:b/>
              </w:rPr>
              <w:t xml:space="preserve">Sieve Size </w:t>
            </w:r>
            <w:r w:rsidRPr="009850E8">
              <w:rPr>
                <w:b/>
              </w:rPr>
              <w:noBreakHyphen/>
              <w:t xml:space="preserve"> AS (mm)</w:t>
            </w:r>
          </w:p>
        </w:tc>
        <w:tc>
          <w:tcPr>
            <w:tcW w:w="1417" w:type="dxa"/>
            <w:gridSpan w:val="2"/>
            <w:vMerge w:val="restart"/>
            <w:tcBorders>
              <w:top w:val="single" w:sz="12" w:space="0" w:color="auto"/>
              <w:left w:val="nil"/>
              <w:bottom w:val="single" w:sz="4" w:space="0" w:color="000000"/>
              <w:right w:val="single" w:sz="12" w:space="0" w:color="auto"/>
            </w:tcBorders>
            <w:vAlign w:val="center"/>
          </w:tcPr>
          <w:p w14:paraId="07CA73A6" w14:textId="77777777" w:rsidR="006E5B1D" w:rsidRPr="009850E8" w:rsidRDefault="006E5B1D" w:rsidP="001852A9">
            <w:pPr>
              <w:jc w:val="center"/>
              <w:rPr>
                <w:b/>
              </w:rPr>
            </w:pPr>
            <w:r w:rsidRPr="009850E8">
              <w:rPr>
                <w:b/>
              </w:rPr>
              <w:t>Plasticity Index</w:t>
            </w:r>
          </w:p>
        </w:tc>
      </w:tr>
      <w:tr w:rsidR="006E5B1D" w:rsidRPr="009850E8" w14:paraId="22362DFD" w14:textId="77777777" w:rsidTr="005B0C4D">
        <w:trPr>
          <w:jc w:val="center"/>
        </w:trPr>
        <w:tc>
          <w:tcPr>
            <w:tcW w:w="1927" w:type="dxa"/>
            <w:vMerge/>
            <w:tcBorders>
              <w:left w:val="single" w:sz="12" w:space="0" w:color="auto"/>
              <w:right w:val="single" w:sz="8" w:space="0" w:color="auto"/>
            </w:tcBorders>
            <w:vAlign w:val="center"/>
          </w:tcPr>
          <w:p w14:paraId="6E33942E" w14:textId="77777777" w:rsidR="006E5B1D" w:rsidRPr="009850E8" w:rsidRDefault="006E5B1D" w:rsidP="001852A9">
            <w:pPr>
              <w:rPr>
                <w:b/>
              </w:rPr>
            </w:pPr>
          </w:p>
        </w:tc>
        <w:tc>
          <w:tcPr>
            <w:tcW w:w="4536" w:type="dxa"/>
            <w:gridSpan w:val="5"/>
            <w:tcBorders>
              <w:top w:val="single" w:sz="8" w:space="0" w:color="auto"/>
              <w:left w:val="nil"/>
              <w:bottom w:val="single" w:sz="8" w:space="0" w:color="auto"/>
              <w:right w:val="single" w:sz="8" w:space="0" w:color="auto"/>
            </w:tcBorders>
            <w:vAlign w:val="center"/>
          </w:tcPr>
          <w:p w14:paraId="4BC88B17" w14:textId="77777777" w:rsidR="006E5B1D" w:rsidRPr="009850E8" w:rsidRDefault="006E5B1D" w:rsidP="001852A9">
            <w:pPr>
              <w:jc w:val="center"/>
              <w:rPr>
                <w:b/>
              </w:rPr>
            </w:pPr>
            <w:r w:rsidRPr="009850E8">
              <w:rPr>
                <w:b/>
              </w:rPr>
              <w:t>Percentage Passing (by mass)</w:t>
            </w:r>
          </w:p>
        </w:tc>
        <w:tc>
          <w:tcPr>
            <w:tcW w:w="1417" w:type="dxa"/>
            <w:gridSpan w:val="2"/>
            <w:vMerge/>
            <w:tcBorders>
              <w:left w:val="nil"/>
              <w:bottom w:val="single" w:sz="8" w:space="0" w:color="auto"/>
              <w:right w:val="single" w:sz="12" w:space="0" w:color="auto"/>
            </w:tcBorders>
            <w:vAlign w:val="center"/>
          </w:tcPr>
          <w:p w14:paraId="678CDE39" w14:textId="77777777" w:rsidR="006E5B1D" w:rsidRPr="009850E8" w:rsidRDefault="006E5B1D" w:rsidP="001852A9">
            <w:pPr>
              <w:rPr>
                <w:b/>
              </w:rPr>
            </w:pPr>
          </w:p>
        </w:tc>
      </w:tr>
      <w:tr w:rsidR="006E5B1D" w:rsidRPr="009850E8" w14:paraId="0B4BAAD0" w14:textId="77777777" w:rsidTr="005B0C4D">
        <w:trPr>
          <w:jc w:val="center"/>
        </w:trPr>
        <w:tc>
          <w:tcPr>
            <w:tcW w:w="1927" w:type="dxa"/>
            <w:vMerge/>
            <w:tcBorders>
              <w:left w:val="single" w:sz="12" w:space="0" w:color="auto"/>
              <w:bottom w:val="single" w:sz="12" w:space="0" w:color="auto"/>
              <w:right w:val="single" w:sz="8" w:space="0" w:color="auto"/>
            </w:tcBorders>
            <w:vAlign w:val="center"/>
          </w:tcPr>
          <w:p w14:paraId="138F115D" w14:textId="77777777" w:rsidR="006E5B1D" w:rsidRPr="009850E8" w:rsidRDefault="006E5B1D" w:rsidP="001852A9">
            <w:pPr>
              <w:rPr>
                <w:b/>
              </w:rPr>
            </w:pPr>
          </w:p>
        </w:tc>
        <w:tc>
          <w:tcPr>
            <w:tcW w:w="850" w:type="dxa"/>
            <w:tcBorders>
              <w:top w:val="single" w:sz="8" w:space="0" w:color="auto"/>
              <w:left w:val="nil"/>
              <w:bottom w:val="single" w:sz="12" w:space="0" w:color="auto"/>
              <w:right w:val="single" w:sz="8" w:space="0" w:color="auto"/>
            </w:tcBorders>
            <w:vAlign w:val="center"/>
          </w:tcPr>
          <w:p w14:paraId="7299D714" w14:textId="77777777" w:rsidR="006E5B1D" w:rsidRPr="009850E8" w:rsidRDefault="006E5B1D" w:rsidP="001852A9">
            <w:pPr>
              <w:jc w:val="center"/>
              <w:rPr>
                <w:b/>
              </w:rPr>
            </w:pPr>
            <w:r w:rsidRPr="009850E8">
              <w:rPr>
                <w:b/>
              </w:rPr>
              <w:t>75.0</w:t>
            </w:r>
          </w:p>
        </w:tc>
        <w:tc>
          <w:tcPr>
            <w:tcW w:w="851" w:type="dxa"/>
            <w:tcBorders>
              <w:top w:val="single" w:sz="8" w:space="0" w:color="auto"/>
              <w:left w:val="nil"/>
              <w:bottom w:val="single" w:sz="12" w:space="0" w:color="auto"/>
              <w:right w:val="single" w:sz="8" w:space="0" w:color="auto"/>
            </w:tcBorders>
            <w:vAlign w:val="center"/>
          </w:tcPr>
          <w:p w14:paraId="12DD003F" w14:textId="77777777" w:rsidR="006E5B1D" w:rsidRPr="009850E8" w:rsidRDefault="006E5B1D" w:rsidP="001852A9">
            <w:pPr>
              <w:jc w:val="center"/>
              <w:rPr>
                <w:b/>
              </w:rPr>
            </w:pPr>
            <w:r w:rsidRPr="009850E8">
              <w:rPr>
                <w:b/>
              </w:rPr>
              <w:t>37.5</w:t>
            </w:r>
          </w:p>
        </w:tc>
        <w:tc>
          <w:tcPr>
            <w:tcW w:w="850" w:type="dxa"/>
            <w:tcBorders>
              <w:top w:val="single" w:sz="8" w:space="0" w:color="auto"/>
              <w:left w:val="nil"/>
              <w:bottom w:val="single" w:sz="12" w:space="0" w:color="auto"/>
              <w:right w:val="single" w:sz="8" w:space="0" w:color="auto"/>
            </w:tcBorders>
            <w:vAlign w:val="center"/>
          </w:tcPr>
          <w:p w14:paraId="435F2C9B" w14:textId="77777777" w:rsidR="006E5B1D" w:rsidRPr="009850E8" w:rsidRDefault="006E5B1D" w:rsidP="001852A9">
            <w:pPr>
              <w:jc w:val="center"/>
              <w:rPr>
                <w:b/>
              </w:rPr>
            </w:pPr>
            <w:r w:rsidRPr="009850E8">
              <w:rPr>
                <w:b/>
              </w:rPr>
              <w:t>19.0</w:t>
            </w:r>
          </w:p>
        </w:tc>
        <w:tc>
          <w:tcPr>
            <w:tcW w:w="993" w:type="dxa"/>
            <w:tcBorders>
              <w:top w:val="single" w:sz="8" w:space="0" w:color="auto"/>
              <w:left w:val="nil"/>
              <w:bottom w:val="single" w:sz="12" w:space="0" w:color="auto"/>
              <w:right w:val="single" w:sz="8" w:space="0" w:color="auto"/>
            </w:tcBorders>
            <w:vAlign w:val="center"/>
          </w:tcPr>
          <w:p w14:paraId="353F073B" w14:textId="77777777" w:rsidR="006E5B1D" w:rsidRPr="009850E8" w:rsidRDefault="006E5B1D" w:rsidP="001852A9">
            <w:pPr>
              <w:jc w:val="center"/>
              <w:rPr>
                <w:b/>
              </w:rPr>
            </w:pPr>
            <w:r w:rsidRPr="009850E8">
              <w:rPr>
                <w:b/>
              </w:rPr>
              <w:t>2.36</w:t>
            </w:r>
          </w:p>
        </w:tc>
        <w:tc>
          <w:tcPr>
            <w:tcW w:w="992" w:type="dxa"/>
            <w:tcBorders>
              <w:top w:val="single" w:sz="8" w:space="0" w:color="auto"/>
              <w:left w:val="nil"/>
              <w:bottom w:val="single" w:sz="12" w:space="0" w:color="auto"/>
              <w:right w:val="single" w:sz="8" w:space="0" w:color="auto"/>
            </w:tcBorders>
            <w:vAlign w:val="center"/>
          </w:tcPr>
          <w:p w14:paraId="4E0542DE" w14:textId="77777777" w:rsidR="006E5B1D" w:rsidRPr="009850E8" w:rsidRDefault="006E5B1D" w:rsidP="001852A9">
            <w:pPr>
              <w:jc w:val="center"/>
              <w:rPr>
                <w:b/>
              </w:rPr>
            </w:pPr>
            <w:r w:rsidRPr="009850E8">
              <w:rPr>
                <w:b/>
              </w:rPr>
              <w:t>0.075</w:t>
            </w:r>
          </w:p>
        </w:tc>
        <w:tc>
          <w:tcPr>
            <w:tcW w:w="709" w:type="dxa"/>
            <w:tcBorders>
              <w:top w:val="single" w:sz="8" w:space="0" w:color="auto"/>
              <w:left w:val="nil"/>
              <w:bottom w:val="single" w:sz="12" w:space="0" w:color="auto"/>
              <w:right w:val="single" w:sz="7" w:space="0" w:color="000000"/>
            </w:tcBorders>
            <w:vAlign w:val="center"/>
          </w:tcPr>
          <w:p w14:paraId="3AE30FB9" w14:textId="77777777" w:rsidR="006E5B1D" w:rsidRPr="009850E8" w:rsidRDefault="006E5B1D" w:rsidP="001852A9">
            <w:pPr>
              <w:jc w:val="center"/>
              <w:rPr>
                <w:b/>
              </w:rPr>
            </w:pPr>
            <w:r w:rsidRPr="009850E8">
              <w:rPr>
                <w:b/>
              </w:rPr>
              <w:t>min</w:t>
            </w:r>
          </w:p>
        </w:tc>
        <w:tc>
          <w:tcPr>
            <w:tcW w:w="708" w:type="dxa"/>
            <w:tcBorders>
              <w:top w:val="single" w:sz="8" w:space="0" w:color="auto"/>
              <w:left w:val="single" w:sz="6" w:space="0" w:color="FFFFFF"/>
              <w:bottom w:val="single" w:sz="12" w:space="0" w:color="auto"/>
              <w:right w:val="single" w:sz="12" w:space="0" w:color="auto"/>
            </w:tcBorders>
            <w:vAlign w:val="center"/>
          </w:tcPr>
          <w:p w14:paraId="33DEF437" w14:textId="77777777" w:rsidR="006E5B1D" w:rsidRPr="009850E8" w:rsidRDefault="006E5B1D" w:rsidP="001852A9">
            <w:pPr>
              <w:jc w:val="center"/>
              <w:rPr>
                <w:b/>
              </w:rPr>
            </w:pPr>
            <w:r w:rsidRPr="009850E8">
              <w:rPr>
                <w:b/>
              </w:rPr>
              <w:t>max</w:t>
            </w:r>
          </w:p>
        </w:tc>
      </w:tr>
      <w:tr w:rsidR="006E5B1D" w14:paraId="12A89959" w14:textId="77777777" w:rsidTr="005B0C4D">
        <w:trPr>
          <w:jc w:val="center"/>
        </w:trPr>
        <w:tc>
          <w:tcPr>
            <w:tcW w:w="1927" w:type="dxa"/>
            <w:tcBorders>
              <w:top w:val="single" w:sz="12" w:space="0" w:color="auto"/>
              <w:left w:val="single" w:sz="12" w:space="0" w:color="auto"/>
              <w:bottom w:val="single" w:sz="6" w:space="0" w:color="FFFFFF"/>
              <w:right w:val="single" w:sz="8" w:space="0" w:color="auto"/>
            </w:tcBorders>
          </w:tcPr>
          <w:p w14:paraId="70E4B651" w14:textId="77777777" w:rsidR="006E5B1D" w:rsidRDefault="006E5B1D" w:rsidP="001852A9">
            <w:pPr>
              <w:spacing w:before="40" w:line="170" w:lineRule="auto"/>
            </w:pPr>
            <w:r>
              <w:t>Bedding</w:t>
            </w:r>
          </w:p>
        </w:tc>
        <w:tc>
          <w:tcPr>
            <w:tcW w:w="850" w:type="dxa"/>
            <w:tcBorders>
              <w:top w:val="single" w:sz="12" w:space="0" w:color="auto"/>
              <w:left w:val="nil"/>
              <w:bottom w:val="single" w:sz="6" w:space="0" w:color="FFFFFF"/>
              <w:right w:val="single" w:sz="8" w:space="0" w:color="auto"/>
            </w:tcBorders>
          </w:tcPr>
          <w:p w14:paraId="11332994" w14:textId="77777777" w:rsidR="006E5B1D" w:rsidRDefault="006E5B1D" w:rsidP="001852A9">
            <w:pPr>
              <w:spacing w:before="40" w:line="170" w:lineRule="auto"/>
              <w:jc w:val="center"/>
            </w:pPr>
            <w:r>
              <w:noBreakHyphen/>
            </w:r>
          </w:p>
        </w:tc>
        <w:tc>
          <w:tcPr>
            <w:tcW w:w="851" w:type="dxa"/>
            <w:tcBorders>
              <w:top w:val="single" w:sz="12" w:space="0" w:color="auto"/>
              <w:left w:val="nil"/>
              <w:bottom w:val="single" w:sz="6" w:space="0" w:color="FFFFFF"/>
              <w:right w:val="single" w:sz="8" w:space="0" w:color="auto"/>
            </w:tcBorders>
          </w:tcPr>
          <w:p w14:paraId="72CED8D2" w14:textId="77777777" w:rsidR="006E5B1D" w:rsidRDefault="006E5B1D" w:rsidP="001852A9">
            <w:pPr>
              <w:spacing w:before="40" w:line="170" w:lineRule="auto"/>
              <w:jc w:val="center"/>
            </w:pPr>
            <w:r>
              <w:noBreakHyphen/>
            </w:r>
          </w:p>
        </w:tc>
        <w:tc>
          <w:tcPr>
            <w:tcW w:w="850" w:type="dxa"/>
            <w:tcBorders>
              <w:top w:val="single" w:sz="12" w:space="0" w:color="auto"/>
              <w:left w:val="nil"/>
              <w:bottom w:val="single" w:sz="6" w:space="0" w:color="FFFFFF"/>
              <w:right w:val="single" w:sz="8" w:space="0" w:color="auto"/>
            </w:tcBorders>
          </w:tcPr>
          <w:p w14:paraId="0460EA20" w14:textId="77777777" w:rsidR="006E5B1D" w:rsidRDefault="006E5B1D" w:rsidP="001852A9">
            <w:pPr>
              <w:spacing w:before="40" w:line="170" w:lineRule="auto"/>
              <w:jc w:val="center"/>
            </w:pPr>
            <w:r>
              <w:t>100</w:t>
            </w:r>
          </w:p>
        </w:tc>
        <w:tc>
          <w:tcPr>
            <w:tcW w:w="993" w:type="dxa"/>
            <w:tcBorders>
              <w:top w:val="single" w:sz="12" w:space="0" w:color="auto"/>
              <w:left w:val="nil"/>
              <w:bottom w:val="single" w:sz="6" w:space="0" w:color="FFFFFF"/>
              <w:right w:val="single" w:sz="8" w:space="0" w:color="auto"/>
            </w:tcBorders>
          </w:tcPr>
          <w:p w14:paraId="15028E97" w14:textId="77777777" w:rsidR="006E5B1D" w:rsidRDefault="006E5B1D" w:rsidP="001852A9">
            <w:pPr>
              <w:spacing w:before="40" w:line="170" w:lineRule="auto"/>
              <w:jc w:val="center"/>
            </w:pPr>
            <w:r>
              <w:noBreakHyphen/>
            </w:r>
          </w:p>
        </w:tc>
        <w:tc>
          <w:tcPr>
            <w:tcW w:w="992" w:type="dxa"/>
            <w:tcBorders>
              <w:top w:val="single" w:sz="12" w:space="0" w:color="auto"/>
              <w:left w:val="nil"/>
              <w:bottom w:val="single" w:sz="6" w:space="0" w:color="FFFFFF"/>
              <w:right w:val="single" w:sz="8" w:space="0" w:color="auto"/>
            </w:tcBorders>
          </w:tcPr>
          <w:p w14:paraId="1E24FCD7" w14:textId="77777777" w:rsidR="006E5B1D" w:rsidRDefault="006E5B1D" w:rsidP="001852A9">
            <w:pPr>
              <w:spacing w:before="40" w:line="170" w:lineRule="auto"/>
              <w:jc w:val="center"/>
            </w:pPr>
            <w:r>
              <w:t>10</w:t>
            </w:r>
            <w:r>
              <w:noBreakHyphen/>
              <w:t>40</w:t>
            </w:r>
          </w:p>
        </w:tc>
        <w:tc>
          <w:tcPr>
            <w:tcW w:w="709" w:type="dxa"/>
            <w:tcBorders>
              <w:top w:val="single" w:sz="12" w:space="0" w:color="auto"/>
              <w:left w:val="nil"/>
              <w:bottom w:val="single" w:sz="6" w:space="0" w:color="FFFFFF"/>
              <w:right w:val="single" w:sz="7" w:space="0" w:color="000000"/>
            </w:tcBorders>
          </w:tcPr>
          <w:p w14:paraId="0C04909C" w14:textId="77777777" w:rsidR="006E5B1D" w:rsidRDefault="006E5B1D" w:rsidP="001852A9">
            <w:pPr>
              <w:spacing w:before="40" w:line="170" w:lineRule="auto"/>
              <w:jc w:val="center"/>
            </w:pPr>
            <w:r>
              <w:t>2</w:t>
            </w:r>
          </w:p>
        </w:tc>
        <w:tc>
          <w:tcPr>
            <w:tcW w:w="708" w:type="dxa"/>
            <w:tcBorders>
              <w:top w:val="single" w:sz="12" w:space="0" w:color="auto"/>
              <w:left w:val="single" w:sz="6" w:space="0" w:color="FFFFFF"/>
              <w:bottom w:val="single" w:sz="6" w:space="0" w:color="FFFFFF"/>
              <w:right w:val="single" w:sz="12" w:space="0" w:color="auto"/>
            </w:tcBorders>
          </w:tcPr>
          <w:p w14:paraId="262C759C" w14:textId="77777777" w:rsidR="006E5B1D" w:rsidRDefault="006E5B1D" w:rsidP="001852A9">
            <w:pPr>
              <w:spacing w:before="40" w:line="170" w:lineRule="auto"/>
              <w:jc w:val="center"/>
            </w:pPr>
            <w:r>
              <w:t>10</w:t>
            </w:r>
          </w:p>
        </w:tc>
      </w:tr>
      <w:tr w:rsidR="006E5B1D" w14:paraId="7CCD1355" w14:textId="77777777" w:rsidTr="005B0C4D">
        <w:trPr>
          <w:jc w:val="center"/>
        </w:trPr>
        <w:tc>
          <w:tcPr>
            <w:tcW w:w="1927" w:type="dxa"/>
            <w:tcBorders>
              <w:top w:val="single" w:sz="6" w:space="0" w:color="FFFFFF"/>
              <w:left w:val="single" w:sz="12" w:space="0" w:color="auto"/>
              <w:bottom w:val="single" w:sz="6" w:space="0" w:color="FFFFFF"/>
              <w:right w:val="single" w:sz="8" w:space="0" w:color="auto"/>
            </w:tcBorders>
          </w:tcPr>
          <w:p w14:paraId="690F9D3B" w14:textId="77777777" w:rsidR="006E5B1D" w:rsidRDefault="006E5B1D" w:rsidP="001852A9">
            <w:pPr>
              <w:spacing w:before="40" w:line="170" w:lineRule="auto"/>
            </w:pPr>
            <w:r>
              <w:t>Selected backfill</w:t>
            </w:r>
          </w:p>
        </w:tc>
        <w:tc>
          <w:tcPr>
            <w:tcW w:w="850" w:type="dxa"/>
            <w:tcBorders>
              <w:top w:val="single" w:sz="6" w:space="0" w:color="FFFFFF"/>
              <w:left w:val="nil"/>
              <w:bottom w:val="single" w:sz="6" w:space="0" w:color="FFFFFF"/>
              <w:right w:val="single" w:sz="8" w:space="0" w:color="auto"/>
            </w:tcBorders>
          </w:tcPr>
          <w:p w14:paraId="170FDF97" w14:textId="77777777" w:rsidR="006E5B1D" w:rsidRDefault="006E5B1D" w:rsidP="001852A9">
            <w:pPr>
              <w:spacing w:before="40" w:line="170" w:lineRule="auto"/>
              <w:jc w:val="center"/>
            </w:pPr>
            <w:r>
              <w:noBreakHyphen/>
            </w:r>
          </w:p>
        </w:tc>
        <w:tc>
          <w:tcPr>
            <w:tcW w:w="851" w:type="dxa"/>
            <w:tcBorders>
              <w:top w:val="single" w:sz="6" w:space="0" w:color="FFFFFF"/>
              <w:left w:val="nil"/>
              <w:bottom w:val="single" w:sz="6" w:space="0" w:color="FFFFFF"/>
              <w:right w:val="single" w:sz="8" w:space="0" w:color="auto"/>
            </w:tcBorders>
          </w:tcPr>
          <w:p w14:paraId="570160B2" w14:textId="77777777" w:rsidR="006E5B1D" w:rsidRDefault="006E5B1D" w:rsidP="001852A9">
            <w:pPr>
              <w:spacing w:before="40" w:line="170" w:lineRule="auto"/>
              <w:jc w:val="center"/>
            </w:pPr>
            <w:r>
              <w:t>100</w:t>
            </w:r>
          </w:p>
        </w:tc>
        <w:tc>
          <w:tcPr>
            <w:tcW w:w="850" w:type="dxa"/>
            <w:tcBorders>
              <w:top w:val="single" w:sz="6" w:space="0" w:color="FFFFFF"/>
              <w:left w:val="nil"/>
              <w:bottom w:val="single" w:sz="6" w:space="0" w:color="FFFFFF"/>
              <w:right w:val="single" w:sz="8" w:space="0" w:color="auto"/>
            </w:tcBorders>
          </w:tcPr>
          <w:p w14:paraId="6AE77962" w14:textId="77777777" w:rsidR="006E5B1D" w:rsidRDefault="006E5B1D" w:rsidP="001852A9">
            <w:pPr>
              <w:spacing w:before="40" w:line="170" w:lineRule="auto"/>
              <w:jc w:val="center"/>
            </w:pPr>
            <w:r>
              <w:noBreakHyphen/>
            </w:r>
          </w:p>
        </w:tc>
        <w:tc>
          <w:tcPr>
            <w:tcW w:w="993" w:type="dxa"/>
            <w:tcBorders>
              <w:top w:val="single" w:sz="6" w:space="0" w:color="FFFFFF"/>
              <w:left w:val="nil"/>
              <w:bottom w:val="single" w:sz="6" w:space="0" w:color="FFFFFF"/>
              <w:right w:val="single" w:sz="8" w:space="0" w:color="auto"/>
            </w:tcBorders>
          </w:tcPr>
          <w:p w14:paraId="4D2893F2" w14:textId="77777777" w:rsidR="006E5B1D" w:rsidRDefault="006E5B1D" w:rsidP="001852A9">
            <w:pPr>
              <w:spacing w:before="40" w:line="170" w:lineRule="auto"/>
              <w:jc w:val="center"/>
            </w:pPr>
            <w:r>
              <w:noBreakHyphen/>
            </w:r>
          </w:p>
        </w:tc>
        <w:tc>
          <w:tcPr>
            <w:tcW w:w="992" w:type="dxa"/>
            <w:tcBorders>
              <w:top w:val="single" w:sz="6" w:space="0" w:color="FFFFFF"/>
              <w:left w:val="nil"/>
              <w:bottom w:val="single" w:sz="6" w:space="0" w:color="FFFFFF"/>
              <w:right w:val="single" w:sz="8" w:space="0" w:color="auto"/>
            </w:tcBorders>
          </w:tcPr>
          <w:p w14:paraId="28C081C2" w14:textId="77777777" w:rsidR="006E5B1D" w:rsidRDefault="006E5B1D" w:rsidP="001852A9">
            <w:pPr>
              <w:spacing w:before="40" w:line="170" w:lineRule="auto"/>
              <w:jc w:val="center"/>
            </w:pPr>
            <w:r>
              <w:t>10</w:t>
            </w:r>
            <w:r>
              <w:noBreakHyphen/>
              <w:t>40</w:t>
            </w:r>
          </w:p>
        </w:tc>
        <w:tc>
          <w:tcPr>
            <w:tcW w:w="709" w:type="dxa"/>
            <w:tcBorders>
              <w:top w:val="single" w:sz="6" w:space="0" w:color="FFFFFF"/>
              <w:left w:val="nil"/>
              <w:bottom w:val="single" w:sz="6" w:space="0" w:color="FFFFFF"/>
              <w:right w:val="single" w:sz="7" w:space="0" w:color="000000"/>
            </w:tcBorders>
          </w:tcPr>
          <w:p w14:paraId="7C3EB6F4" w14:textId="77777777" w:rsidR="006E5B1D" w:rsidRDefault="006E5B1D" w:rsidP="001852A9">
            <w:pPr>
              <w:spacing w:before="40" w:line="170" w:lineRule="auto"/>
              <w:jc w:val="center"/>
            </w:pPr>
            <w:r>
              <w:t>5</w:t>
            </w:r>
          </w:p>
        </w:tc>
        <w:tc>
          <w:tcPr>
            <w:tcW w:w="708" w:type="dxa"/>
            <w:tcBorders>
              <w:top w:val="single" w:sz="6" w:space="0" w:color="FFFFFF"/>
              <w:left w:val="single" w:sz="6" w:space="0" w:color="FFFFFF"/>
              <w:bottom w:val="single" w:sz="6" w:space="0" w:color="FFFFFF"/>
              <w:right w:val="single" w:sz="12" w:space="0" w:color="auto"/>
            </w:tcBorders>
          </w:tcPr>
          <w:p w14:paraId="0CFDB9C9" w14:textId="77777777" w:rsidR="006E5B1D" w:rsidRDefault="006E5B1D" w:rsidP="001852A9">
            <w:pPr>
              <w:spacing w:before="40" w:line="170" w:lineRule="auto"/>
              <w:jc w:val="center"/>
            </w:pPr>
            <w:r>
              <w:t>20</w:t>
            </w:r>
          </w:p>
        </w:tc>
      </w:tr>
      <w:tr w:rsidR="006E5B1D" w14:paraId="235219B3" w14:textId="77777777" w:rsidTr="005B0C4D">
        <w:trPr>
          <w:jc w:val="center"/>
        </w:trPr>
        <w:tc>
          <w:tcPr>
            <w:tcW w:w="1927" w:type="dxa"/>
            <w:tcBorders>
              <w:top w:val="single" w:sz="6" w:space="0" w:color="FFFFFF"/>
              <w:left w:val="single" w:sz="12" w:space="0" w:color="auto"/>
              <w:bottom w:val="single" w:sz="12" w:space="0" w:color="auto"/>
              <w:right w:val="single" w:sz="8" w:space="0" w:color="auto"/>
            </w:tcBorders>
          </w:tcPr>
          <w:p w14:paraId="626B9060" w14:textId="77777777" w:rsidR="006E5B1D" w:rsidRDefault="00534473" w:rsidP="001852A9">
            <w:pPr>
              <w:spacing w:before="40" w:after="58"/>
            </w:pPr>
            <w:r>
              <w:t>Common</w:t>
            </w:r>
            <w:r w:rsidR="006E5B1D">
              <w:t xml:space="preserve"> backfill</w:t>
            </w:r>
          </w:p>
        </w:tc>
        <w:tc>
          <w:tcPr>
            <w:tcW w:w="850" w:type="dxa"/>
            <w:tcBorders>
              <w:top w:val="single" w:sz="6" w:space="0" w:color="FFFFFF"/>
              <w:left w:val="nil"/>
              <w:bottom w:val="single" w:sz="12" w:space="0" w:color="auto"/>
              <w:right w:val="single" w:sz="8" w:space="0" w:color="auto"/>
            </w:tcBorders>
          </w:tcPr>
          <w:p w14:paraId="538E8D50" w14:textId="77777777" w:rsidR="006E5B1D" w:rsidRDefault="006E5B1D" w:rsidP="001852A9">
            <w:pPr>
              <w:spacing w:before="40" w:after="58"/>
              <w:jc w:val="center"/>
            </w:pPr>
            <w:r>
              <w:t>100</w:t>
            </w:r>
          </w:p>
        </w:tc>
        <w:tc>
          <w:tcPr>
            <w:tcW w:w="851" w:type="dxa"/>
            <w:tcBorders>
              <w:top w:val="single" w:sz="6" w:space="0" w:color="FFFFFF"/>
              <w:left w:val="nil"/>
              <w:bottom w:val="single" w:sz="12" w:space="0" w:color="auto"/>
              <w:right w:val="single" w:sz="8" w:space="0" w:color="auto"/>
            </w:tcBorders>
          </w:tcPr>
          <w:p w14:paraId="1ED0191F" w14:textId="77777777" w:rsidR="006E5B1D" w:rsidRDefault="006E5B1D" w:rsidP="001852A9">
            <w:pPr>
              <w:spacing w:before="40" w:after="58"/>
              <w:jc w:val="center"/>
            </w:pPr>
            <w:r>
              <w:noBreakHyphen/>
            </w:r>
          </w:p>
        </w:tc>
        <w:tc>
          <w:tcPr>
            <w:tcW w:w="850" w:type="dxa"/>
            <w:tcBorders>
              <w:top w:val="single" w:sz="6" w:space="0" w:color="FFFFFF"/>
              <w:left w:val="nil"/>
              <w:bottom w:val="single" w:sz="12" w:space="0" w:color="auto"/>
              <w:right w:val="single" w:sz="8" w:space="0" w:color="auto"/>
            </w:tcBorders>
          </w:tcPr>
          <w:p w14:paraId="306072AF" w14:textId="77777777" w:rsidR="006E5B1D" w:rsidRDefault="006E5B1D" w:rsidP="001852A9">
            <w:pPr>
              <w:spacing w:before="40" w:after="58"/>
              <w:jc w:val="center"/>
            </w:pPr>
            <w:r>
              <w:noBreakHyphen/>
            </w:r>
          </w:p>
        </w:tc>
        <w:tc>
          <w:tcPr>
            <w:tcW w:w="993" w:type="dxa"/>
            <w:tcBorders>
              <w:top w:val="single" w:sz="6" w:space="0" w:color="FFFFFF"/>
              <w:left w:val="nil"/>
              <w:bottom w:val="single" w:sz="12" w:space="0" w:color="auto"/>
              <w:right w:val="single" w:sz="8" w:space="0" w:color="auto"/>
            </w:tcBorders>
          </w:tcPr>
          <w:p w14:paraId="7F1C74CB" w14:textId="77777777" w:rsidR="006E5B1D" w:rsidRDefault="006E5B1D" w:rsidP="001852A9">
            <w:pPr>
              <w:spacing w:before="40" w:after="58"/>
              <w:jc w:val="center"/>
            </w:pPr>
            <w:r>
              <w:t>40</w:t>
            </w:r>
            <w:r>
              <w:noBreakHyphen/>
              <w:t>100</w:t>
            </w:r>
          </w:p>
        </w:tc>
        <w:tc>
          <w:tcPr>
            <w:tcW w:w="992" w:type="dxa"/>
            <w:tcBorders>
              <w:top w:val="single" w:sz="6" w:space="0" w:color="FFFFFF"/>
              <w:left w:val="nil"/>
              <w:bottom w:val="single" w:sz="12" w:space="0" w:color="auto"/>
              <w:right w:val="single" w:sz="8" w:space="0" w:color="auto"/>
            </w:tcBorders>
          </w:tcPr>
          <w:p w14:paraId="01B98C0E" w14:textId="77777777" w:rsidR="006E5B1D" w:rsidRDefault="006E5B1D" w:rsidP="001852A9">
            <w:pPr>
              <w:spacing w:before="40" w:after="58"/>
              <w:jc w:val="center"/>
            </w:pPr>
            <w:r>
              <w:noBreakHyphen/>
            </w:r>
          </w:p>
        </w:tc>
        <w:tc>
          <w:tcPr>
            <w:tcW w:w="709" w:type="dxa"/>
            <w:tcBorders>
              <w:top w:val="single" w:sz="6" w:space="0" w:color="FFFFFF"/>
              <w:left w:val="nil"/>
              <w:bottom w:val="single" w:sz="12" w:space="0" w:color="auto"/>
              <w:right w:val="single" w:sz="7" w:space="0" w:color="000000"/>
            </w:tcBorders>
          </w:tcPr>
          <w:p w14:paraId="463EB5C0" w14:textId="77777777" w:rsidR="006E5B1D" w:rsidRDefault="006E5B1D" w:rsidP="001852A9">
            <w:pPr>
              <w:spacing w:before="40" w:after="58"/>
              <w:jc w:val="center"/>
            </w:pPr>
            <w:r>
              <w:noBreakHyphen/>
            </w:r>
          </w:p>
        </w:tc>
        <w:tc>
          <w:tcPr>
            <w:tcW w:w="708" w:type="dxa"/>
            <w:tcBorders>
              <w:top w:val="single" w:sz="6" w:space="0" w:color="FFFFFF"/>
              <w:left w:val="single" w:sz="6" w:space="0" w:color="FFFFFF"/>
              <w:bottom w:val="single" w:sz="12" w:space="0" w:color="auto"/>
              <w:right w:val="single" w:sz="12" w:space="0" w:color="auto"/>
            </w:tcBorders>
          </w:tcPr>
          <w:p w14:paraId="6ECF5739" w14:textId="77777777" w:rsidR="006E5B1D" w:rsidRDefault="006E5B1D" w:rsidP="001852A9">
            <w:pPr>
              <w:spacing w:before="40" w:after="58"/>
              <w:jc w:val="center"/>
            </w:pPr>
            <w:r>
              <w:noBreakHyphen/>
            </w:r>
          </w:p>
        </w:tc>
      </w:tr>
    </w:tbl>
    <w:p w14:paraId="1FB0A266" w14:textId="77777777" w:rsidR="006E5B1D" w:rsidRDefault="006E5B1D" w:rsidP="005B0C4D"/>
    <w:p w14:paraId="5652E9A3" w14:textId="77777777" w:rsidR="006E5B1D" w:rsidRDefault="006E5B1D" w:rsidP="00534473">
      <w:r>
        <w:t xml:space="preserve">Pavement material shall be as specified in </w:t>
      </w:r>
      <w:r w:rsidR="00F1261C">
        <w:t>clause</w:t>
      </w:r>
      <w:r>
        <w:t> 706.1</w:t>
      </w:r>
      <w:r w:rsidR="00534473">
        <w:t>2</w:t>
      </w:r>
      <w:r>
        <w:t xml:space="preserve"> and shall comply with the requirements of the specified sections as applicable.</w:t>
      </w:r>
    </w:p>
    <w:p w14:paraId="45D9F01A" w14:textId="77777777" w:rsidR="006E5B1D" w:rsidRDefault="006E5B1D" w:rsidP="00F7019B">
      <w:pPr>
        <w:spacing w:line="200" w:lineRule="exact"/>
      </w:pPr>
    </w:p>
    <w:p w14:paraId="54DCDFC6" w14:textId="77777777" w:rsidR="006E5B1D" w:rsidRDefault="006E5B1D" w:rsidP="00F7019B">
      <w:pPr>
        <w:spacing w:line="200" w:lineRule="exact"/>
      </w:pPr>
    </w:p>
    <w:p w14:paraId="38818FF6" w14:textId="77777777" w:rsidR="006E5B1D" w:rsidRDefault="007764F0" w:rsidP="007764F0">
      <w:pPr>
        <w:pStyle w:val="Heading3SS"/>
      </w:pPr>
      <w:r>
        <w:t>706.07</w:t>
      </w:r>
      <w:r w:rsidR="006E5B1D">
        <w:tab/>
        <w:t>BEDDING</w:t>
      </w:r>
    </w:p>
    <w:p w14:paraId="5D7CB2D2" w14:textId="77777777" w:rsidR="006E5B1D" w:rsidRDefault="006E5B1D" w:rsidP="00D56893">
      <w:pPr>
        <w:spacing w:before="180"/>
      </w:pPr>
      <w:r>
        <w:t>Wh</w:t>
      </w:r>
      <w:r w:rsidR="007764F0">
        <w:t xml:space="preserve">ere specified in </w:t>
      </w:r>
      <w:r w:rsidR="00F1261C">
        <w:t>clause</w:t>
      </w:r>
      <w:r w:rsidR="007764F0">
        <w:t> 706.12</w:t>
      </w:r>
      <w:r>
        <w:t xml:space="preserve"> that bedding is required, bedding shall be placed below, around and above the pipe or carrier-conduit for the full width of the trench.  Not less than 25 mm compacted depth of bedding shall be placed below, and not less than 150 mm compacted depth of bedding shall be placed above, the pipe or carrier-conduit.  Bedding shall be placed in layers not exceeding 150 mm loose thickness and shall be compacted as specified.</w:t>
      </w:r>
    </w:p>
    <w:p w14:paraId="13E5160E" w14:textId="77777777" w:rsidR="00F7019B" w:rsidRDefault="00F7019B" w:rsidP="00F7019B">
      <w:pPr>
        <w:spacing w:line="200" w:lineRule="exact"/>
      </w:pPr>
    </w:p>
    <w:p w14:paraId="568BE2EA" w14:textId="77777777" w:rsidR="00F7019B" w:rsidRDefault="00F7019B" w:rsidP="00F7019B">
      <w:pPr>
        <w:spacing w:line="200" w:lineRule="exact"/>
      </w:pPr>
    </w:p>
    <w:p w14:paraId="4F8CFDF4" w14:textId="77777777" w:rsidR="006E5B1D" w:rsidRDefault="007764F0" w:rsidP="0033792C">
      <w:pPr>
        <w:pStyle w:val="Heading3SS"/>
      </w:pPr>
      <w:r>
        <w:t>706.08</w:t>
      </w:r>
      <w:r w:rsidR="006E5B1D">
        <w:tab/>
        <w:t>BACKFILLING</w:t>
      </w:r>
    </w:p>
    <w:p w14:paraId="6EF75666" w14:textId="77777777" w:rsidR="00BF0722" w:rsidRPr="005B0C4D" w:rsidRDefault="00BF0722" w:rsidP="00D56893">
      <w:pPr>
        <w:spacing w:before="180"/>
      </w:pPr>
      <w:r w:rsidRPr="005B0C4D">
        <w:t>Unless otherwise specified or shown on the drawings, selected and common backfill shall be placed and compacted as follows under, around, and above the conduit after the sections are bedded:</w:t>
      </w:r>
    </w:p>
    <w:p w14:paraId="21BA8250" w14:textId="77777777" w:rsidR="00BF0722" w:rsidRDefault="00BF0722" w:rsidP="00F7019B">
      <w:pPr>
        <w:spacing w:line="200" w:lineRule="exact"/>
        <w:rPr>
          <w:color w:val="000000"/>
          <w:lang w:eastAsia="en-AU"/>
        </w:rPr>
      </w:pPr>
    </w:p>
    <w:p w14:paraId="0B260943" w14:textId="77777777" w:rsidR="00BF0722" w:rsidRPr="00BF0722" w:rsidRDefault="00BF0722" w:rsidP="002279B7">
      <w:pPr>
        <w:pStyle w:val="Heading5SS"/>
      </w:pPr>
      <w:r w:rsidRPr="002279B7">
        <w:t>(a)</w:t>
      </w:r>
      <w:r w:rsidRPr="002279B7">
        <w:tab/>
      </w:r>
      <w:r w:rsidRPr="00BF0722">
        <w:t>Conduits under Area to be Paved, including Shoulders and Verges</w:t>
      </w:r>
    </w:p>
    <w:p w14:paraId="4D3E0CC8" w14:textId="77777777" w:rsidR="00BF0722" w:rsidRPr="00BF0722" w:rsidRDefault="00BF0722" w:rsidP="00D56893">
      <w:pPr>
        <w:tabs>
          <w:tab w:val="left" w:pos="454"/>
        </w:tabs>
        <w:spacing w:before="140"/>
        <w:ind w:left="454" w:hanging="454"/>
      </w:pPr>
      <w:r>
        <w:tab/>
      </w:r>
      <w:r w:rsidRPr="00BF0722">
        <w:t>Where the trench has been excavated from the nominated or designed subgrade level or above, the trench shall be backfilled up to the nominated or designed subgrade level with selected backfill material placed and compacted in layers not exceeding 150</w:t>
      </w:r>
      <w:r>
        <w:t> </w:t>
      </w:r>
      <w:r w:rsidRPr="00BF0722">
        <w:t>mm loose thickness, and above that level with common backfill material.</w:t>
      </w:r>
    </w:p>
    <w:p w14:paraId="607D2C65" w14:textId="77777777" w:rsidR="00BF0722" w:rsidRPr="00BF0722" w:rsidRDefault="00BF0722" w:rsidP="00D56893">
      <w:pPr>
        <w:tabs>
          <w:tab w:val="left" w:pos="454"/>
        </w:tabs>
        <w:spacing w:before="140"/>
        <w:ind w:left="454" w:hanging="454"/>
      </w:pPr>
      <w:r w:rsidRPr="00BF0722">
        <w:tab/>
        <w:t>Where the trench is excavated from below the nominated or design subgrade level, the trench shall be filled with selected backfill material placed and compacted in layers not exceeding 150</w:t>
      </w:r>
      <w:r>
        <w:t> </w:t>
      </w:r>
      <w:r w:rsidRPr="00BF0722">
        <w:t>mm loose thickness.</w:t>
      </w:r>
    </w:p>
    <w:p w14:paraId="3D1D136E" w14:textId="77777777" w:rsidR="00D56893" w:rsidRPr="00BF0722" w:rsidRDefault="00D56893" w:rsidP="00D56893"/>
    <w:p w14:paraId="1F7F3CA7" w14:textId="77777777" w:rsidR="00D56893" w:rsidRPr="00BF0722" w:rsidRDefault="00D56893" w:rsidP="00D56893">
      <w:pPr>
        <w:pStyle w:val="Heading5SS"/>
      </w:pPr>
      <w:r w:rsidRPr="00BF0722">
        <w:t>(</w:t>
      </w:r>
      <w:r>
        <w:t>b</w:t>
      </w:r>
      <w:r w:rsidRPr="00BF0722">
        <w:t>)</w:t>
      </w:r>
      <w:r w:rsidRPr="00BF0722">
        <w:tab/>
        <w:t>Conduits under Area not to be Paved</w:t>
      </w:r>
    </w:p>
    <w:p w14:paraId="6F469667" w14:textId="77777777" w:rsidR="00D56893" w:rsidRPr="00BF0722" w:rsidRDefault="00D56893" w:rsidP="00D56893">
      <w:pPr>
        <w:tabs>
          <w:tab w:val="left" w:pos="454"/>
        </w:tabs>
        <w:spacing w:before="140"/>
        <w:ind w:left="454" w:hanging="454"/>
      </w:pPr>
      <w:r w:rsidRPr="00BF0722">
        <w:tab/>
        <w:t>The opening shall be backfilled with common backfill placed and compacted as specified in layers not exceeding 200</w:t>
      </w:r>
      <w:r>
        <w:t> </w:t>
      </w:r>
      <w:r w:rsidRPr="00BF0722">
        <w:t>mm loose thickness.</w:t>
      </w:r>
    </w:p>
    <w:p w14:paraId="0204CF0E" w14:textId="77777777" w:rsidR="00DC2366" w:rsidRPr="00BF0722" w:rsidRDefault="0068286B" w:rsidP="00D56893">
      <w:r>
        <w:rPr>
          <w:noProof/>
          <w:lang w:eastAsia="en-AU"/>
        </w:rPr>
        <w:pict w14:anchorId="5E2F1E3E">
          <v:shape id="_x0000_s1032" type="#_x0000_t202" style="position:absolute;margin-left:0;margin-top:779.65pt;width:481.9pt;height:36.85pt;z-index:-251659264;mso-wrap-distance-top:5.65pt;mso-position-horizontal:center;mso-position-horizontal-relative:page;mso-position-vertical-relative:page" stroked="f">
            <v:textbox style="mso-next-textbox:#_x0000_s1032" inset="0,,0">
              <w:txbxContent>
                <w:p w14:paraId="31D014B6" w14:textId="77777777" w:rsidR="00D56893" w:rsidRDefault="00D56893" w:rsidP="009850E8">
                  <w:pPr>
                    <w:pBdr>
                      <w:top w:val="single" w:sz="6" w:space="1" w:color="000000"/>
                    </w:pBdr>
                    <w:spacing w:line="60" w:lineRule="exact"/>
                    <w:jc w:val="right"/>
                    <w:rPr>
                      <w:b/>
                    </w:rPr>
                  </w:pPr>
                </w:p>
                <w:p w14:paraId="16B76981" w14:textId="53597F10" w:rsidR="00D56893" w:rsidRDefault="00D56893" w:rsidP="009850E8">
                  <w:pPr>
                    <w:pBdr>
                      <w:top w:val="single" w:sz="6" w:space="1" w:color="000000"/>
                    </w:pBdr>
                    <w:jc w:val="right"/>
                  </w:pPr>
                  <w:r>
                    <w:rPr>
                      <w:b/>
                    </w:rPr>
                    <w:t>©</w:t>
                  </w:r>
                  <w:r>
                    <w:t xml:space="preserve"> </w:t>
                  </w:r>
                  <w:r w:rsidR="0068286B">
                    <w:t>Department of Transport</w:t>
                  </w:r>
                  <w:r>
                    <w:t xml:space="preserve">  December 2014</w:t>
                  </w:r>
                </w:p>
                <w:p w14:paraId="1557419C" w14:textId="77777777" w:rsidR="00D56893" w:rsidRDefault="00D56893" w:rsidP="009850E8">
                  <w:pPr>
                    <w:jc w:val="right"/>
                  </w:pPr>
                  <w:r>
                    <w:t>Section 706 (Page 2 of 4)</w:t>
                  </w:r>
                </w:p>
                <w:p w14:paraId="4F7CC14B" w14:textId="77777777" w:rsidR="00D56893" w:rsidRDefault="00D56893" w:rsidP="009850E8">
                  <w:pPr>
                    <w:jc w:val="right"/>
                  </w:pPr>
                </w:p>
              </w:txbxContent>
            </v:textbox>
            <w10:wrap anchorx="page" anchory="page"/>
            <w10:anchorlock/>
          </v:shape>
        </w:pict>
      </w:r>
      <w:r w:rsidR="006E5B1D">
        <w:br w:type="page"/>
      </w:r>
    </w:p>
    <w:p w14:paraId="0D87F347" w14:textId="77777777" w:rsidR="00DC2366" w:rsidRPr="00BF0722" w:rsidRDefault="00DC2366" w:rsidP="002279B7">
      <w:pPr>
        <w:pStyle w:val="Heading5SS"/>
      </w:pPr>
      <w:r w:rsidRPr="00BF0722">
        <w:t>(</w:t>
      </w:r>
      <w:r>
        <w:t>c</w:t>
      </w:r>
      <w:r w:rsidRPr="00BF0722">
        <w:t>)</w:t>
      </w:r>
      <w:r w:rsidRPr="00BF0722">
        <w:tab/>
        <w:t>Conduits through Existing Paved Areas including Shoulders and Verges</w:t>
      </w:r>
    </w:p>
    <w:p w14:paraId="338C9E32" w14:textId="77777777" w:rsidR="00DC2366" w:rsidRDefault="00DC2366" w:rsidP="00D56893">
      <w:pPr>
        <w:tabs>
          <w:tab w:val="left" w:pos="454"/>
        </w:tabs>
        <w:spacing w:before="160"/>
        <w:ind w:left="454" w:hanging="454"/>
      </w:pPr>
      <w:r>
        <w:tab/>
      </w:r>
      <w:r w:rsidRPr="00BF0722">
        <w:t>Unless otherwise specified or shown on the drawings, the opening shall be backfilled to the existing subgrade level with selected backfill material placed and compacted in layers not exceeding 150 mm loose thickness and the pavement material placed and compac</w:t>
      </w:r>
      <w:r w:rsidR="00913492">
        <w:t>ted in layers not exceeding 100 </w:t>
      </w:r>
      <w:r w:rsidRPr="00BF0722">
        <w:t xml:space="preserve">mm loose thickness using materials in accordance with </w:t>
      </w:r>
      <w:r w:rsidR="00F1261C">
        <w:t>clause</w:t>
      </w:r>
      <w:r w:rsidR="00913492">
        <w:t> </w:t>
      </w:r>
      <w:r w:rsidRPr="00BF0722">
        <w:t>706.12 (b).</w:t>
      </w:r>
    </w:p>
    <w:p w14:paraId="349DC5DF" w14:textId="77777777" w:rsidR="00DC2366" w:rsidRDefault="00DC2366" w:rsidP="00DC2366"/>
    <w:p w14:paraId="23BCD075" w14:textId="77777777" w:rsidR="00DC2366" w:rsidRDefault="00DC2366" w:rsidP="00DC2366"/>
    <w:p w14:paraId="1D95E72E" w14:textId="77777777" w:rsidR="00DC2366" w:rsidRDefault="00DC2366" w:rsidP="00DC2366">
      <w:pPr>
        <w:pStyle w:val="Heading3SS"/>
      </w:pPr>
      <w:r>
        <w:t>706.09</w:t>
      </w:r>
      <w:r>
        <w:tab/>
        <w:t>COMPACTION STANDARDS</w:t>
      </w:r>
    </w:p>
    <w:p w14:paraId="1AD29EEA" w14:textId="77777777" w:rsidR="00DC2366" w:rsidRDefault="00DC2366" w:rsidP="00DC2366"/>
    <w:p w14:paraId="1D272A43" w14:textId="77777777" w:rsidR="00DC2366" w:rsidRDefault="00DC2366" w:rsidP="00DC2366">
      <w:pPr>
        <w:pStyle w:val="Heading5SS"/>
      </w:pPr>
      <w:r>
        <w:t>(a)</w:t>
      </w:r>
      <w:r>
        <w:tab/>
        <w:t xml:space="preserve">Bedding and </w:t>
      </w:r>
      <w:r w:rsidR="002279B7">
        <w:t>B</w:t>
      </w:r>
      <w:r>
        <w:t>ackfill (except pavement)</w:t>
      </w:r>
    </w:p>
    <w:p w14:paraId="028D091C" w14:textId="77777777" w:rsidR="00DC2366" w:rsidRDefault="00DC2366" w:rsidP="00D56893">
      <w:pPr>
        <w:tabs>
          <w:tab w:val="left" w:pos="454"/>
        </w:tabs>
        <w:spacing w:before="160"/>
        <w:ind w:left="454" w:hanging="454"/>
      </w:pPr>
      <w:r>
        <w:tab/>
        <w:t>Unless otherwise specified, bedding and backfill shall have during compaction a uniform moisture content within the range 85% to 115% of the optimum moisture content as determined in the Standard compactive effort.  For backfill of nominal size greater than 40 mm the fraction of material passing the 37.5 mm sieve shall have during compaction a uniform moisture content within the range 85% to 115% of the optimum moisture content as determined for that fraction in the Standard compactive effort.</w:t>
      </w:r>
    </w:p>
    <w:p w14:paraId="77A3368F" w14:textId="77777777" w:rsidR="00DC2366" w:rsidRDefault="00DC2366" w:rsidP="00913492">
      <w:pPr>
        <w:tabs>
          <w:tab w:val="left" w:pos="454"/>
        </w:tabs>
        <w:spacing w:before="160"/>
        <w:ind w:left="454" w:hanging="454"/>
      </w:pPr>
      <w:r>
        <w:tab/>
        <w:t>Bedding and backfill shall be compacted to refusal using hand held mechanical equipment.</w:t>
      </w:r>
    </w:p>
    <w:p w14:paraId="4B70FF6A" w14:textId="77777777" w:rsidR="00DC2366" w:rsidRDefault="00DC2366" w:rsidP="00913492">
      <w:pPr>
        <w:tabs>
          <w:tab w:val="left" w:pos="454"/>
        </w:tabs>
        <w:spacing w:before="160"/>
        <w:ind w:left="454" w:hanging="454"/>
      </w:pPr>
      <w:r>
        <w:tab/>
        <w:t>Backfilling beneath areas to be paved shall be assessed for compaction in lots as defined in Section 173.  The number of tests per lot shall be three.  Backfill, the whole of which passes the 37.5 mm AS sieve, shall be compacted to a mean value of density ratio of not less than 97%.  The calculation of density ratio shall be based on Stand</w:t>
      </w:r>
      <w:r w:rsidR="00913492">
        <w:t>ard compactive effort. </w:t>
      </w:r>
      <w:r>
        <w:t xml:space="preserve"> A lot shall consist of a single layer of work.  A minimum of 20% of all lots constructed shall be tested.</w:t>
      </w:r>
    </w:p>
    <w:p w14:paraId="490372D4" w14:textId="77777777" w:rsidR="00DC2366" w:rsidRDefault="00DC2366" w:rsidP="00913492">
      <w:pPr>
        <w:tabs>
          <w:tab w:val="left" w:pos="454"/>
        </w:tabs>
        <w:spacing w:before="160"/>
        <w:ind w:left="454" w:hanging="454"/>
      </w:pPr>
      <w:r>
        <w:tab/>
      </w:r>
      <w:r>
        <w:rPr>
          <w:b/>
        </w:rPr>
        <w:t>Detailed proposals for the compaction of backfill materials of nominal size greater than 40 mm shall be submitted to the Superintendent for review before commencing work.</w:t>
      </w:r>
    </w:p>
    <w:p w14:paraId="24590962" w14:textId="77777777" w:rsidR="00DC2366" w:rsidRDefault="00DC2366" w:rsidP="00DC2366"/>
    <w:p w14:paraId="06C9AA54" w14:textId="77777777" w:rsidR="006E5B1D" w:rsidRDefault="006E5B1D" w:rsidP="00DC2366">
      <w:pPr>
        <w:pStyle w:val="Heading5SS"/>
      </w:pPr>
      <w:r>
        <w:t>(b)</w:t>
      </w:r>
      <w:r>
        <w:tab/>
        <w:t>Pavement</w:t>
      </w:r>
    </w:p>
    <w:p w14:paraId="01981510" w14:textId="77777777" w:rsidR="006E5B1D" w:rsidRDefault="009732E2" w:rsidP="00913492">
      <w:pPr>
        <w:tabs>
          <w:tab w:val="left" w:pos="454"/>
        </w:tabs>
        <w:spacing w:before="160"/>
        <w:ind w:left="454" w:hanging="454"/>
      </w:pPr>
      <w:r>
        <w:tab/>
      </w:r>
      <w:r w:rsidR="006E5B1D">
        <w:t>Unless otherwise specified, pavement material shall have during compaction a uniform moisture content within the range 85% to 115% of the optimum moisture content as determined in the Modified compactive effort.</w:t>
      </w:r>
    </w:p>
    <w:p w14:paraId="426CB14C" w14:textId="77777777" w:rsidR="006E5B1D" w:rsidRDefault="009732E2" w:rsidP="00913492">
      <w:pPr>
        <w:tabs>
          <w:tab w:val="left" w:pos="454"/>
        </w:tabs>
        <w:spacing w:before="160"/>
        <w:ind w:left="454" w:hanging="454"/>
      </w:pPr>
      <w:r>
        <w:tab/>
      </w:r>
      <w:r w:rsidR="006E5B1D">
        <w:t xml:space="preserve">Pavement material shall be assessed for compaction in lots as defined in Section 173.  The number of tests per lot shall be three.  All pavement layers shall be compacted to a mean value of density ratio not less than the percentage specified in </w:t>
      </w:r>
      <w:r w:rsidR="00F1261C">
        <w:t>clause</w:t>
      </w:r>
      <w:r w:rsidR="006E5B1D">
        <w:t> 706.1</w:t>
      </w:r>
      <w:r w:rsidR="00DC2366">
        <w:t>2</w:t>
      </w:r>
      <w:r w:rsidR="006E5B1D">
        <w:t>(</w:t>
      </w:r>
      <w:r w:rsidR="00DC2366">
        <w:t>b</w:t>
      </w:r>
      <w:r w:rsidR="006E5B1D">
        <w:t>).  The calculation of density ratio shall be based on Modified compactive effort.  All pavement layers shall be tested.</w:t>
      </w:r>
    </w:p>
    <w:p w14:paraId="5EDA8A13" w14:textId="77777777" w:rsidR="006E5B1D" w:rsidRDefault="006E5B1D" w:rsidP="009732E2"/>
    <w:p w14:paraId="00EFDB90" w14:textId="77777777" w:rsidR="006E5B1D" w:rsidRDefault="006E5B1D" w:rsidP="009732E2"/>
    <w:p w14:paraId="0CC6E2EE" w14:textId="77777777" w:rsidR="006E5B1D" w:rsidRDefault="006E5B1D" w:rsidP="0033792C">
      <w:pPr>
        <w:pStyle w:val="Heading3SS"/>
      </w:pPr>
      <w:r>
        <w:t>706.1</w:t>
      </w:r>
      <w:r w:rsidR="001779CA">
        <w:t>0</w:t>
      </w:r>
      <w:r>
        <w:tab/>
        <w:t>CLEANING OF SITE</w:t>
      </w:r>
    </w:p>
    <w:p w14:paraId="44FC801B" w14:textId="77777777" w:rsidR="006E5B1D" w:rsidRDefault="006E5B1D" w:rsidP="00291273">
      <w:pPr>
        <w:spacing w:before="200"/>
      </w:pPr>
      <w:r>
        <w:t>Surplus excavated material shall be removed from the road reserve.  Areas affected by the work shall be restored to a condition similar to that which existed prior to the commencement of the work.</w:t>
      </w:r>
    </w:p>
    <w:p w14:paraId="25CB6144" w14:textId="77777777" w:rsidR="006E5B1D" w:rsidRDefault="006E5B1D" w:rsidP="009732E2"/>
    <w:p w14:paraId="065F3A95" w14:textId="77777777" w:rsidR="00D56893" w:rsidRDefault="00D56893" w:rsidP="00D56893"/>
    <w:p w14:paraId="0E57278B" w14:textId="77777777" w:rsidR="00D56893" w:rsidRDefault="00D56893" w:rsidP="00D56893">
      <w:pPr>
        <w:pStyle w:val="Heading3SS"/>
      </w:pPr>
      <w:r>
        <w:t>706.11</w:t>
      </w:r>
      <w:r>
        <w:tab/>
        <w:t>MAINTENANCE OF PAVEMENT</w:t>
      </w:r>
    </w:p>
    <w:p w14:paraId="4094C8ED" w14:textId="77777777" w:rsidR="00D56893" w:rsidRDefault="00D56893" w:rsidP="00D56893">
      <w:pPr>
        <w:spacing w:before="200"/>
      </w:pPr>
      <w:r>
        <w:t>The reinstated surface shall be maintained in a trafficable condition after the completion of backfilling.  Additional pavement material shall be placed in the trench and compacted as specified where in paved areas settlement or loss of material from the surface exceeds 20 mm measured from a straight edge laid across the top of the trench.</w:t>
      </w:r>
    </w:p>
    <w:p w14:paraId="26ED063D" w14:textId="77777777" w:rsidR="00D56893" w:rsidRDefault="00D56893" w:rsidP="00D56893"/>
    <w:p w14:paraId="6E151957" w14:textId="77777777" w:rsidR="00291273" w:rsidRDefault="0068286B" w:rsidP="009732E2">
      <w:r>
        <w:rPr>
          <w:noProof/>
          <w:lang w:eastAsia="en-AU"/>
        </w:rPr>
        <w:pict w14:anchorId="50A809C3">
          <v:shape id="_x0000_s1034" type="#_x0000_t202" style="position:absolute;margin-left:0;margin-top:779.65pt;width:481.9pt;height:36.85pt;z-index:-251657216;mso-wrap-distance-top:5.65pt;mso-position-horizontal:center;mso-position-horizontal-relative:page;mso-position-vertical-relative:page" o:allowincell="f" o:allowoverlap="f" stroked="f">
            <v:textbox style="mso-next-textbox:#_x0000_s1034" inset="0,,0">
              <w:txbxContent>
                <w:p w14:paraId="0B24D51D" w14:textId="77777777" w:rsidR="00D56893" w:rsidRDefault="00D56893" w:rsidP="000C747A">
                  <w:pPr>
                    <w:pBdr>
                      <w:top w:val="single" w:sz="6" w:space="1" w:color="000000"/>
                    </w:pBdr>
                    <w:spacing w:line="60" w:lineRule="exact"/>
                    <w:jc w:val="right"/>
                    <w:rPr>
                      <w:b/>
                    </w:rPr>
                  </w:pPr>
                </w:p>
                <w:p w14:paraId="1F10751B" w14:textId="357312BB" w:rsidR="00D56893" w:rsidRDefault="00D56893" w:rsidP="000C747A">
                  <w:pPr>
                    <w:pBdr>
                      <w:top w:val="single" w:sz="6" w:space="1" w:color="000000"/>
                    </w:pBdr>
                    <w:jc w:val="right"/>
                  </w:pPr>
                  <w:r>
                    <w:rPr>
                      <w:b/>
                    </w:rPr>
                    <w:t>©</w:t>
                  </w:r>
                  <w:r>
                    <w:t xml:space="preserve"> </w:t>
                  </w:r>
                  <w:r w:rsidR="0068286B">
                    <w:t>Department of Transport</w:t>
                  </w:r>
                  <w:r>
                    <w:t xml:space="preserve">  December 2014</w:t>
                  </w:r>
                </w:p>
                <w:p w14:paraId="55695D73" w14:textId="77777777" w:rsidR="00D56893" w:rsidRDefault="00D56893" w:rsidP="000C747A">
                  <w:pPr>
                    <w:jc w:val="right"/>
                  </w:pPr>
                  <w:r>
                    <w:t>Section 706 (Page 3 of 4)</w:t>
                  </w:r>
                </w:p>
                <w:p w14:paraId="4632E7D5" w14:textId="77777777" w:rsidR="00D56893" w:rsidRDefault="00D56893" w:rsidP="000C747A">
                  <w:pPr>
                    <w:jc w:val="right"/>
                  </w:pPr>
                </w:p>
              </w:txbxContent>
            </v:textbox>
            <w10:wrap anchorx="page" anchory="page"/>
            <w10:anchorlock/>
          </v:shape>
        </w:pict>
      </w:r>
      <w:r w:rsidR="000C747A">
        <w:br w:type="page"/>
      </w:r>
    </w:p>
    <w:p w14:paraId="3A7A0DE0" w14:textId="77777777" w:rsidR="006E5B1D" w:rsidRDefault="006E5B1D" w:rsidP="0033792C">
      <w:pPr>
        <w:pStyle w:val="Heading3SS"/>
      </w:pPr>
      <w:r>
        <w:t>706.1</w:t>
      </w:r>
      <w:r w:rsidR="000C747A">
        <w:t>2</w:t>
      </w:r>
      <w:r>
        <w:tab/>
        <w:t>SCHEDULE OF DETAILS</w:t>
      </w:r>
    </w:p>
    <w:p w14:paraId="77731A2C" w14:textId="77777777" w:rsidR="00F14F0E" w:rsidRDefault="00F14F0E" w:rsidP="00291273"/>
    <w:p w14:paraId="15BFF4FC" w14:textId="77777777" w:rsidR="006E5B1D" w:rsidRDefault="006E5B1D" w:rsidP="00291273">
      <w:pPr>
        <w:tabs>
          <w:tab w:val="left" w:pos="0"/>
          <w:tab w:val="left" w:pos="454"/>
        </w:tabs>
        <w:ind w:left="454" w:hanging="1021"/>
      </w:pPr>
      <w:r>
        <w:t>***</w:t>
      </w:r>
      <w:r>
        <w:tab/>
        <w:t>(a)</w:t>
      </w:r>
      <w:r>
        <w:tab/>
        <w:t>Bedding (</w:t>
      </w:r>
      <w:r w:rsidR="00F1261C">
        <w:t>clause</w:t>
      </w:r>
      <w:r>
        <w:t xml:space="preserve"> 706.0</w:t>
      </w:r>
      <w:r w:rsidR="00DA00FB">
        <w:t>7</w:t>
      </w:r>
      <w:r>
        <w:t>)  -  ##</w:t>
      </w:r>
      <w:r w:rsidR="0008366D">
        <w:t>(strikethrough ‘Required’ or ‘Not Required’)</w:t>
      </w:r>
      <w:r>
        <w:t>:Required</w:t>
      </w:r>
      <w:r w:rsidR="0008366D">
        <w:t xml:space="preserve"> </w:t>
      </w:r>
      <w:r>
        <w:t>/</w:t>
      </w:r>
      <w:r w:rsidR="0008366D">
        <w:t xml:space="preserve"> </w:t>
      </w:r>
      <w:r>
        <w:t>Not required</w:t>
      </w:r>
    </w:p>
    <w:p w14:paraId="002629B6" w14:textId="77777777" w:rsidR="006E5B1D" w:rsidRDefault="006E5B1D" w:rsidP="00291273"/>
    <w:p w14:paraId="531AED81" w14:textId="77777777" w:rsidR="006E5B1D" w:rsidRDefault="006E5B1D" w:rsidP="00291273">
      <w:pPr>
        <w:tabs>
          <w:tab w:val="left" w:pos="0"/>
          <w:tab w:val="left" w:pos="454"/>
        </w:tabs>
        <w:ind w:left="454" w:hanging="1021"/>
      </w:pPr>
      <w:r>
        <w:t>***</w:t>
      </w:r>
      <w:r>
        <w:tab/>
        <w:t>(b)</w:t>
      </w:r>
      <w:r>
        <w:tab/>
        <w:t xml:space="preserve">Pavement </w:t>
      </w:r>
      <w:r w:rsidR="00291273">
        <w:t>M</w:t>
      </w:r>
      <w:r>
        <w:t>aterial (</w:t>
      </w:r>
      <w:r w:rsidR="00F1261C">
        <w:t>clause</w:t>
      </w:r>
      <w:r>
        <w:t xml:space="preserve"> 706.0</w:t>
      </w:r>
      <w:r w:rsidR="00D77024">
        <w:t>6</w:t>
      </w:r>
      <w:r>
        <w:t>)</w:t>
      </w:r>
    </w:p>
    <w:p w14:paraId="4B164528" w14:textId="77777777" w:rsidR="006E5B1D" w:rsidRDefault="006E5B1D" w:rsidP="009732E2"/>
    <w:tbl>
      <w:tblPr>
        <w:tblW w:w="0" w:type="auto"/>
        <w:jc w:val="center"/>
        <w:tblLayout w:type="fixed"/>
        <w:tblCellMar>
          <w:top w:w="102" w:type="dxa"/>
          <w:left w:w="85" w:type="dxa"/>
          <w:bottom w:w="28" w:type="dxa"/>
          <w:right w:w="85" w:type="dxa"/>
        </w:tblCellMar>
        <w:tblLook w:val="0000" w:firstRow="0" w:lastRow="0" w:firstColumn="0" w:lastColumn="0" w:noHBand="0" w:noVBand="0"/>
      </w:tblPr>
      <w:tblGrid>
        <w:gridCol w:w="465"/>
        <w:gridCol w:w="2000"/>
        <w:gridCol w:w="3441"/>
        <w:gridCol w:w="1276"/>
        <w:gridCol w:w="1509"/>
      </w:tblGrid>
      <w:tr w:rsidR="006E5B1D" w:rsidRPr="009850E8" w14:paraId="685FC171" w14:textId="77777777" w:rsidTr="00B36BB8">
        <w:trPr>
          <w:jc w:val="center"/>
        </w:trPr>
        <w:tc>
          <w:tcPr>
            <w:tcW w:w="2465" w:type="dxa"/>
            <w:gridSpan w:val="2"/>
            <w:tcBorders>
              <w:top w:val="single" w:sz="12" w:space="0" w:color="auto"/>
              <w:left w:val="single" w:sz="12" w:space="0" w:color="auto"/>
              <w:bottom w:val="single" w:sz="6" w:space="0" w:color="FFFFFF"/>
              <w:right w:val="single" w:sz="6" w:space="0" w:color="FFFFFF"/>
            </w:tcBorders>
            <w:tcMar>
              <w:top w:w="51" w:type="dxa"/>
              <w:bottom w:w="11" w:type="dxa"/>
            </w:tcMar>
            <w:vAlign w:val="center"/>
          </w:tcPr>
          <w:p w14:paraId="3067E8D9" w14:textId="77777777" w:rsidR="006E5B1D" w:rsidRPr="009850E8" w:rsidRDefault="006E5B1D" w:rsidP="009732E2">
            <w:pPr>
              <w:jc w:val="center"/>
              <w:rPr>
                <w:b/>
              </w:rPr>
            </w:pPr>
            <w:r w:rsidRPr="009850E8">
              <w:rPr>
                <w:b/>
              </w:rPr>
              <w:t>Pavement Layer</w:t>
            </w:r>
          </w:p>
        </w:tc>
        <w:tc>
          <w:tcPr>
            <w:tcW w:w="3441" w:type="dxa"/>
            <w:tcBorders>
              <w:top w:val="single" w:sz="12" w:space="0" w:color="auto"/>
              <w:left w:val="single" w:sz="7" w:space="0" w:color="000000"/>
              <w:bottom w:val="single" w:sz="12" w:space="0" w:color="auto"/>
              <w:right w:val="single" w:sz="6" w:space="0" w:color="FFFFFF"/>
            </w:tcBorders>
            <w:tcMar>
              <w:top w:w="51" w:type="dxa"/>
              <w:bottom w:w="11" w:type="dxa"/>
            </w:tcMar>
            <w:vAlign w:val="center"/>
          </w:tcPr>
          <w:p w14:paraId="1D5C9417" w14:textId="77777777" w:rsidR="006E5B1D" w:rsidRPr="009850E8" w:rsidRDefault="006E5B1D" w:rsidP="009732E2">
            <w:pPr>
              <w:jc w:val="center"/>
              <w:rPr>
                <w:b/>
              </w:rPr>
            </w:pPr>
            <w:r w:rsidRPr="009850E8">
              <w:rPr>
                <w:b/>
              </w:rPr>
              <w:t>Material Type</w:t>
            </w:r>
          </w:p>
        </w:tc>
        <w:tc>
          <w:tcPr>
            <w:tcW w:w="1276" w:type="dxa"/>
            <w:tcBorders>
              <w:top w:val="single" w:sz="12" w:space="0" w:color="auto"/>
              <w:left w:val="single" w:sz="7" w:space="0" w:color="000000"/>
              <w:bottom w:val="single" w:sz="12" w:space="0" w:color="auto"/>
              <w:right w:val="single" w:sz="6" w:space="0" w:color="FFFFFF"/>
            </w:tcBorders>
            <w:tcMar>
              <w:top w:w="51" w:type="dxa"/>
              <w:bottom w:w="11" w:type="dxa"/>
            </w:tcMar>
            <w:vAlign w:val="bottom"/>
          </w:tcPr>
          <w:p w14:paraId="03AA063C" w14:textId="77777777" w:rsidR="006E5B1D" w:rsidRPr="009850E8" w:rsidRDefault="006E5B1D" w:rsidP="009732E2">
            <w:pPr>
              <w:jc w:val="center"/>
              <w:rPr>
                <w:b/>
              </w:rPr>
            </w:pPr>
            <w:r w:rsidRPr="009850E8">
              <w:rPr>
                <w:b/>
              </w:rPr>
              <w:t>Thickness</w:t>
            </w:r>
          </w:p>
          <w:p w14:paraId="2CBDD10A" w14:textId="77777777" w:rsidR="006E5B1D" w:rsidRPr="009850E8" w:rsidRDefault="006E5B1D" w:rsidP="009732E2">
            <w:pPr>
              <w:jc w:val="center"/>
              <w:rPr>
                <w:b/>
              </w:rPr>
            </w:pPr>
            <w:r w:rsidRPr="009850E8">
              <w:rPr>
                <w:b/>
              </w:rPr>
              <w:t>(mm)</w:t>
            </w:r>
          </w:p>
        </w:tc>
        <w:tc>
          <w:tcPr>
            <w:tcW w:w="1509" w:type="dxa"/>
            <w:tcBorders>
              <w:top w:val="single" w:sz="12" w:space="0" w:color="auto"/>
              <w:left w:val="single" w:sz="7" w:space="0" w:color="000000"/>
              <w:bottom w:val="single" w:sz="12" w:space="0" w:color="auto"/>
              <w:right w:val="single" w:sz="12" w:space="0" w:color="auto"/>
            </w:tcBorders>
            <w:tcMar>
              <w:top w:w="51" w:type="dxa"/>
              <w:bottom w:w="11" w:type="dxa"/>
            </w:tcMar>
            <w:vAlign w:val="bottom"/>
          </w:tcPr>
          <w:p w14:paraId="09092AAD" w14:textId="77777777" w:rsidR="006E5B1D" w:rsidRPr="009850E8" w:rsidRDefault="006E5B1D" w:rsidP="009732E2">
            <w:pPr>
              <w:jc w:val="center"/>
              <w:rPr>
                <w:b/>
              </w:rPr>
            </w:pPr>
            <w:r w:rsidRPr="009850E8">
              <w:rPr>
                <w:b/>
              </w:rPr>
              <w:t>Density Ratio</w:t>
            </w:r>
          </w:p>
          <w:p w14:paraId="3FB6F19C" w14:textId="77777777" w:rsidR="006E5B1D" w:rsidRPr="009850E8" w:rsidRDefault="006E5B1D" w:rsidP="009732E2">
            <w:pPr>
              <w:jc w:val="center"/>
              <w:rPr>
                <w:b/>
              </w:rPr>
            </w:pPr>
            <w:r w:rsidRPr="009850E8">
              <w:rPr>
                <w:b/>
              </w:rPr>
              <w:t>(Modified)</w:t>
            </w:r>
          </w:p>
        </w:tc>
      </w:tr>
      <w:tr w:rsidR="006E5B1D" w14:paraId="48C62787" w14:textId="77777777" w:rsidTr="00B36BB8">
        <w:trPr>
          <w:jc w:val="center"/>
        </w:trPr>
        <w:tc>
          <w:tcPr>
            <w:tcW w:w="465" w:type="dxa"/>
            <w:tcBorders>
              <w:top w:val="single" w:sz="12" w:space="0" w:color="auto"/>
              <w:left w:val="single" w:sz="12" w:space="0" w:color="auto"/>
              <w:bottom w:val="single" w:sz="7" w:space="0" w:color="000000"/>
              <w:right w:val="single" w:sz="6" w:space="0" w:color="FFFFFF"/>
            </w:tcBorders>
            <w:tcMar>
              <w:top w:w="51" w:type="dxa"/>
              <w:bottom w:w="11" w:type="dxa"/>
            </w:tcMar>
          </w:tcPr>
          <w:p w14:paraId="3C8CE8BD" w14:textId="77777777" w:rsidR="006E5B1D" w:rsidRDefault="006E5B1D" w:rsidP="009732E2">
            <w:r>
              <w:t>1.</w:t>
            </w:r>
          </w:p>
        </w:tc>
        <w:tc>
          <w:tcPr>
            <w:tcW w:w="2000" w:type="dxa"/>
            <w:tcBorders>
              <w:top w:val="single" w:sz="12" w:space="0" w:color="auto"/>
              <w:left w:val="single" w:sz="6" w:space="0" w:color="FFFFFF"/>
              <w:bottom w:val="single" w:sz="7" w:space="0" w:color="000000"/>
              <w:right w:val="single" w:sz="6" w:space="0" w:color="FFFFFF"/>
            </w:tcBorders>
            <w:tcMar>
              <w:top w:w="51" w:type="dxa"/>
              <w:bottom w:w="11" w:type="dxa"/>
            </w:tcMar>
          </w:tcPr>
          <w:p w14:paraId="04C96897" w14:textId="77777777" w:rsidR="006E5B1D" w:rsidRDefault="006E5B1D" w:rsidP="009732E2">
            <w:r>
              <w:t>##:</w:t>
            </w:r>
          </w:p>
        </w:tc>
        <w:tc>
          <w:tcPr>
            <w:tcW w:w="3441" w:type="dxa"/>
            <w:tcBorders>
              <w:top w:val="single" w:sz="12" w:space="0" w:color="auto"/>
              <w:left w:val="single" w:sz="7" w:space="0" w:color="000000"/>
              <w:bottom w:val="single" w:sz="7" w:space="0" w:color="000000"/>
              <w:right w:val="single" w:sz="6" w:space="0" w:color="FFFFFF"/>
            </w:tcBorders>
            <w:tcMar>
              <w:top w:w="51" w:type="dxa"/>
              <w:bottom w:w="11" w:type="dxa"/>
            </w:tcMar>
          </w:tcPr>
          <w:p w14:paraId="3DBE18BC" w14:textId="77777777" w:rsidR="006E5B1D" w:rsidRDefault="006E5B1D" w:rsidP="009732E2"/>
        </w:tc>
        <w:tc>
          <w:tcPr>
            <w:tcW w:w="1276" w:type="dxa"/>
            <w:tcBorders>
              <w:top w:val="single" w:sz="12" w:space="0" w:color="auto"/>
              <w:left w:val="single" w:sz="7" w:space="0" w:color="000000"/>
              <w:bottom w:val="single" w:sz="7" w:space="0" w:color="000000"/>
              <w:right w:val="single" w:sz="6" w:space="0" w:color="FFFFFF"/>
            </w:tcBorders>
            <w:tcMar>
              <w:top w:w="51" w:type="dxa"/>
              <w:bottom w:w="11" w:type="dxa"/>
            </w:tcMar>
          </w:tcPr>
          <w:p w14:paraId="40C7C0C2" w14:textId="77777777" w:rsidR="006E5B1D" w:rsidRDefault="006E5B1D" w:rsidP="009732E2">
            <w:pPr>
              <w:jc w:val="right"/>
            </w:pPr>
          </w:p>
        </w:tc>
        <w:tc>
          <w:tcPr>
            <w:tcW w:w="1509" w:type="dxa"/>
            <w:tcBorders>
              <w:top w:val="single" w:sz="12" w:space="0" w:color="auto"/>
              <w:left w:val="single" w:sz="7" w:space="0" w:color="000000"/>
              <w:bottom w:val="single" w:sz="7" w:space="0" w:color="000000"/>
              <w:right w:val="single" w:sz="12" w:space="0" w:color="auto"/>
            </w:tcBorders>
            <w:tcMar>
              <w:top w:w="51" w:type="dxa"/>
              <w:bottom w:w="11" w:type="dxa"/>
            </w:tcMar>
          </w:tcPr>
          <w:p w14:paraId="4A3AB1DC" w14:textId="77777777" w:rsidR="006E5B1D" w:rsidRDefault="006E5B1D" w:rsidP="009732E2">
            <w:pPr>
              <w:jc w:val="center"/>
            </w:pPr>
          </w:p>
        </w:tc>
      </w:tr>
      <w:tr w:rsidR="006E5B1D" w14:paraId="668DEBC3" w14:textId="77777777" w:rsidTr="00B36BB8">
        <w:trPr>
          <w:jc w:val="center"/>
        </w:trPr>
        <w:tc>
          <w:tcPr>
            <w:tcW w:w="465" w:type="dxa"/>
            <w:tcBorders>
              <w:top w:val="single" w:sz="6" w:space="0" w:color="FFFFFF"/>
              <w:left w:val="single" w:sz="12" w:space="0" w:color="auto"/>
              <w:bottom w:val="single" w:sz="7" w:space="0" w:color="000000"/>
              <w:right w:val="single" w:sz="6" w:space="0" w:color="FFFFFF"/>
            </w:tcBorders>
            <w:tcMar>
              <w:top w:w="51" w:type="dxa"/>
              <w:bottom w:w="11" w:type="dxa"/>
            </w:tcMar>
          </w:tcPr>
          <w:p w14:paraId="74E74161" w14:textId="77777777" w:rsidR="006E5B1D" w:rsidRDefault="006E5B1D" w:rsidP="009732E2">
            <w:r>
              <w:t>2.</w:t>
            </w:r>
          </w:p>
        </w:tc>
        <w:tc>
          <w:tcPr>
            <w:tcW w:w="2000" w:type="dxa"/>
            <w:tcBorders>
              <w:top w:val="single" w:sz="6" w:space="0" w:color="FFFFFF"/>
              <w:left w:val="single" w:sz="6" w:space="0" w:color="FFFFFF"/>
              <w:bottom w:val="single" w:sz="7" w:space="0" w:color="000000"/>
              <w:right w:val="single" w:sz="6" w:space="0" w:color="FFFFFF"/>
            </w:tcBorders>
            <w:tcMar>
              <w:top w:w="51" w:type="dxa"/>
              <w:bottom w:w="11" w:type="dxa"/>
            </w:tcMar>
          </w:tcPr>
          <w:p w14:paraId="66C4102F" w14:textId="77777777" w:rsidR="006E5B1D" w:rsidRDefault="006E5B1D" w:rsidP="009732E2"/>
        </w:tc>
        <w:tc>
          <w:tcPr>
            <w:tcW w:w="3441" w:type="dxa"/>
            <w:tcBorders>
              <w:top w:val="single" w:sz="6" w:space="0" w:color="FFFFFF"/>
              <w:left w:val="single" w:sz="7" w:space="0" w:color="000000"/>
              <w:bottom w:val="single" w:sz="7" w:space="0" w:color="000000"/>
              <w:right w:val="single" w:sz="6" w:space="0" w:color="FFFFFF"/>
            </w:tcBorders>
            <w:tcMar>
              <w:top w:w="51" w:type="dxa"/>
              <w:bottom w:w="11" w:type="dxa"/>
            </w:tcMar>
          </w:tcPr>
          <w:p w14:paraId="0AADD549" w14:textId="77777777" w:rsidR="006E5B1D" w:rsidRDefault="006E5B1D" w:rsidP="009732E2"/>
        </w:tc>
        <w:tc>
          <w:tcPr>
            <w:tcW w:w="1276" w:type="dxa"/>
            <w:tcBorders>
              <w:top w:val="single" w:sz="6" w:space="0" w:color="FFFFFF"/>
              <w:left w:val="single" w:sz="7" w:space="0" w:color="000000"/>
              <w:bottom w:val="single" w:sz="7" w:space="0" w:color="000000"/>
              <w:right w:val="single" w:sz="6" w:space="0" w:color="FFFFFF"/>
            </w:tcBorders>
            <w:tcMar>
              <w:top w:w="51" w:type="dxa"/>
              <w:bottom w:w="11" w:type="dxa"/>
            </w:tcMar>
          </w:tcPr>
          <w:p w14:paraId="49DC0ED0" w14:textId="77777777" w:rsidR="006E5B1D" w:rsidRDefault="006E5B1D" w:rsidP="009732E2">
            <w:pPr>
              <w:jc w:val="right"/>
            </w:pPr>
          </w:p>
        </w:tc>
        <w:tc>
          <w:tcPr>
            <w:tcW w:w="1509" w:type="dxa"/>
            <w:tcBorders>
              <w:top w:val="single" w:sz="6" w:space="0" w:color="FFFFFF"/>
              <w:left w:val="single" w:sz="7" w:space="0" w:color="000000"/>
              <w:bottom w:val="single" w:sz="7" w:space="0" w:color="000000"/>
              <w:right w:val="single" w:sz="12" w:space="0" w:color="auto"/>
            </w:tcBorders>
            <w:tcMar>
              <w:top w:w="51" w:type="dxa"/>
              <w:bottom w:w="11" w:type="dxa"/>
            </w:tcMar>
          </w:tcPr>
          <w:p w14:paraId="1A310B5F" w14:textId="77777777" w:rsidR="006E5B1D" w:rsidRDefault="006E5B1D" w:rsidP="009732E2">
            <w:pPr>
              <w:jc w:val="center"/>
            </w:pPr>
          </w:p>
        </w:tc>
      </w:tr>
      <w:tr w:rsidR="006E5B1D" w14:paraId="216A5FB9" w14:textId="77777777" w:rsidTr="00B36BB8">
        <w:trPr>
          <w:jc w:val="center"/>
        </w:trPr>
        <w:tc>
          <w:tcPr>
            <w:tcW w:w="465" w:type="dxa"/>
            <w:tcBorders>
              <w:top w:val="single" w:sz="6" w:space="0" w:color="FFFFFF"/>
              <w:left w:val="single" w:sz="12" w:space="0" w:color="auto"/>
              <w:bottom w:val="single" w:sz="7" w:space="0" w:color="000000"/>
              <w:right w:val="single" w:sz="6" w:space="0" w:color="FFFFFF"/>
            </w:tcBorders>
            <w:tcMar>
              <w:top w:w="51" w:type="dxa"/>
              <w:bottom w:w="11" w:type="dxa"/>
            </w:tcMar>
          </w:tcPr>
          <w:p w14:paraId="6D9A9724" w14:textId="77777777" w:rsidR="006E5B1D" w:rsidRDefault="006E5B1D" w:rsidP="009732E2">
            <w:r>
              <w:t>3.</w:t>
            </w:r>
          </w:p>
        </w:tc>
        <w:tc>
          <w:tcPr>
            <w:tcW w:w="2000" w:type="dxa"/>
            <w:tcBorders>
              <w:top w:val="single" w:sz="6" w:space="0" w:color="FFFFFF"/>
              <w:left w:val="single" w:sz="6" w:space="0" w:color="FFFFFF"/>
              <w:bottom w:val="single" w:sz="7" w:space="0" w:color="000000"/>
              <w:right w:val="single" w:sz="6" w:space="0" w:color="FFFFFF"/>
            </w:tcBorders>
            <w:tcMar>
              <w:top w:w="51" w:type="dxa"/>
              <w:bottom w:w="11" w:type="dxa"/>
            </w:tcMar>
          </w:tcPr>
          <w:p w14:paraId="5EA53138" w14:textId="77777777" w:rsidR="006E5B1D" w:rsidRDefault="006E5B1D" w:rsidP="009732E2"/>
        </w:tc>
        <w:tc>
          <w:tcPr>
            <w:tcW w:w="3441" w:type="dxa"/>
            <w:tcBorders>
              <w:top w:val="single" w:sz="6" w:space="0" w:color="FFFFFF"/>
              <w:left w:val="single" w:sz="7" w:space="0" w:color="000000"/>
              <w:bottom w:val="single" w:sz="7" w:space="0" w:color="000000"/>
              <w:right w:val="single" w:sz="6" w:space="0" w:color="FFFFFF"/>
            </w:tcBorders>
            <w:tcMar>
              <w:top w:w="51" w:type="dxa"/>
              <w:bottom w:w="11" w:type="dxa"/>
            </w:tcMar>
          </w:tcPr>
          <w:p w14:paraId="025E15FA" w14:textId="77777777" w:rsidR="006E5B1D" w:rsidRDefault="006E5B1D" w:rsidP="009732E2"/>
        </w:tc>
        <w:tc>
          <w:tcPr>
            <w:tcW w:w="1276" w:type="dxa"/>
            <w:tcBorders>
              <w:top w:val="single" w:sz="6" w:space="0" w:color="FFFFFF"/>
              <w:left w:val="single" w:sz="7" w:space="0" w:color="000000"/>
              <w:bottom w:val="single" w:sz="7" w:space="0" w:color="000000"/>
              <w:right w:val="single" w:sz="6" w:space="0" w:color="FFFFFF"/>
            </w:tcBorders>
            <w:tcMar>
              <w:top w:w="51" w:type="dxa"/>
              <w:bottom w:w="11" w:type="dxa"/>
            </w:tcMar>
          </w:tcPr>
          <w:p w14:paraId="6E7DC91F" w14:textId="77777777" w:rsidR="006E5B1D" w:rsidRDefault="006E5B1D" w:rsidP="009732E2">
            <w:pPr>
              <w:jc w:val="right"/>
            </w:pPr>
          </w:p>
        </w:tc>
        <w:tc>
          <w:tcPr>
            <w:tcW w:w="1509" w:type="dxa"/>
            <w:tcBorders>
              <w:top w:val="single" w:sz="6" w:space="0" w:color="FFFFFF"/>
              <w:left w:val="single" w:sz="7" w:space="0" w:color="000000"/>
              <w:bottom w:val="single" w:sz="7" w:space="0" w:color="000000"/>
              <w:right w:val="single" w:sz="12" w:space="0" w:color="auto"/>
            </w:tcBorders>
            <w:tcMar>
              <w:top w:w="51" w:type="dxa"/>
              <w:bottom w:w="11" w:type="dxa"/>
            </w:tcMar>
          </w:tcPr>
          <w:p w14:paraId="6A999808" w14:textId="77777777" w:rsidR="006E5B1D" w:rsidRDefault="006E5B1D" w:rsidP="009732E2">
            <w:pPr>
              <w:jc w:val="center"/>
            </w:pPr>
          </w:p>
        </w:tc>
      </w:tr>
      <w:tr w:rsidR="006E5B1D" w14:paraId="47782681" w14:textId="77777777" w:rsidTr="00B36BB8">
        <w:trPr>
          <w:jc w:val="center"/>
        </w:trPr>
        <w:tc>
          <w:tcPr>
            <w:tcW w:w="465" w:type="dxa"/>
            <w:tcBorders>
              <w:top w:val="single" w:sz="6" w:space="0" w:color="FFFFFF"/>
              <w:left w:val="single" w:sz="12" w:space="0" w:color="auto"/>
              <w:bottom w:val="single" w:sz="7" w:space="0" w:color="000000"/>
              <w:right w:val="single" w:sz="6" w:space="0" w:color="FFFFFF"/>
            </w:tcBorders>
            <w:tcMar>
              <w:top w:w="51" w:type="dxa"/>
              <w:bottom w:w="11" w:type="dxa"/>
            </w:tcMar>
          </w:tcPr>
          <w:p w14:paraId="08E6F681" w14:textId="77777777" w:rsidR="006E5B1D" w:rsidRDefault="006E5B1D" w:rsidP="009732E2">
            <w:r>
              <w:t>4.</w:t>
            </w:r>
          </w:p>
        </w:tc>
        <w:tc>
          <w:tcPr>
            <w:tcW w:w="2000" w:type="dxa"/>
            <w:tcBorders>
              <w:top w:val="single" w:sz="6" w:space="0" w:color="FFFFFF"/>
              <w:left w:val="single" w:sz="6" w:space="0" w:color="FFFFFF"/>
              <w:bottom w:val="single" w:sz="7" w:space="0" w:color="000000"/>
              <w:right w:val="single" w:sz="6" w:space="0" w:color="FFFFFF"/>
            </w:tcBorders>
            <w:tcMar>
              <w:top w:w="51" w:type="dxa"/>
              <w:bottom w:w="11" w:type="dxa"/>
            </w:tcMar>
          </w:tcPr>
          <w:p w14:paraId="1F8B727B" w14:textId="77777777" w:rsidR="006E5B1D" w:rsidRDefault="006E5B1D" w:rsidP="009732E2"/>
        </w:tc>
        <w:tc>
          <w:tcPr>
            <w:tcW w:w="3441" w:type="dxa"/>
            <w:tcBorders>
              <w:top w:val="single" w:sz="6" w:space="0" w:color="FFFFFF"/>
              <w:left w:val="single" w:sz="7" w:space="0" w:color="000000"/>
              <w:bottom w:val="single" w:sz="7" w:space="0" w:color="000000"/>
              <w:right w:val="single" w:sz="6" w:space="0" w:color="FFFFFF"/>
            </w:tcBorders>
            <w:tcMar>
              <w:top w:w="51" w:type="dxa"/>
              <w:bottom w:w="11" w:type="dxa"/>
            </w:tcMar>
          </w:tcPr>
          <w:p w14:paraId="43B39454" w14:textId="77777777" w:rsidR="006E5B1D" w:rsidRDefault="006E5B1D" w:rsidP="009732E2"/>
        </w:tc>
        <w:tc>
          <w:tcPr>
            <w:tcW w:w="1276" w:type="dxa"/>
            <w:tcBorders>
              <w:top w:val="single" w:sz="6" w:space="0" w:color="FFFFFF"/>
              <w:left w:val="single" w:sz="7" w:space="0" w:color="000000"/>
              <w:bottom w:val="single" w:sz="7" w:space="0" w:color="000000"/>
              <w:right w:val="single" w:sz="6" w:space="0" w:color="FFFFFF"/>
            </w:tcBorders>
            <w:tcMar>
              <w:top w:w="51" w:type="dxa"/>
              <w:bottom w:w="11" w:type="dxa"/>
            </w:tcMar>
          </w:tcPr>
          <w:p w14:paraId="5B4E2478" w14:textId="77777777" w:rsidR="006E5B1D" w:rsidRDefault="006E5B1D" w:rsidP="009732E2">
            <w:pPr>
              <w:jc w:val="right"/>
            </w:pPr>
          </w:p>
        </w:tc>
        <w:tc>
          <w:tcPr>
            <w:tcW w:w="1509" w:type="dxa"/>
            <w:tcBorders>
              <w:top w:val="single" w:sz="6" w:space="0" w:color="FFFFFF"/>
              <w:left w:val="single" w:sz="7" w:space="0" w:color="000000"/>
              <w:bottom w:val="single" w:sz="7" w:space="0" w:color="000000"/>
              <w:right w:val="single" w:sz="12" w:space="0" w:color="auto"/>
            </w:tcBorders>
            <w:tcMar>
              <w:top w:w="51" w:type="dxa"/>
              <w:bottom w:w="11" w:type="dxa"/>
            </w:tcMar>
          </w:tcPr>
          <w:p w14:paraId="5FD9F425" w14:textId="77777777" w:rsidR="006E5B1D" w:rsidRDefault="006E5B1D" w:rsidP="009732E2">
            <w:pPr>
              <w:jc w:val="center"/>
            </w:pPr>
          </w:p>
        </w:tc>
      </w:tr>
      <w:tr w:rsidR="006E5B1D" w14:paraId="621B2C83" w14:textId="77777777" w:rsidTr="00B36BB8">
        <w:trPr>
          <w:jc w:val="center"/>
        </w:trPr>
        <w:tc>
          <w:tcPr>
            <w:tcW w:w="465" w:type="dxa"/>
            <w:tcBorders>
              <w:top w:val="single" w:sz="6" w:space="0" w:color="FFFFFF"/>
              <w:left w:val="single" w:sz="12" w:space="0" w:color="auto"/>
              <w:bottom w:val="single" w:sz="12" w:space="0" w:color="auto"/>
              <w:right w:val="single" w:sz="6" w:space="0" w:color="FFFFFF"/>
            </w:tcBorders>
            <w:tcMar>
              <w:top w:w="51" w:type="dxa"/>
              <w:bottom w:w="11" w:type="dxa"/>
            </w:tcMar>
          </w:tcPr>
          <w:p w14:paraId="6769EE64" w14:textId="77777777" w:rsidR="006E5B1D" w:rsidRDefault="006E5B1D" w:rsidP="009732E2">
            <w:r>
              <w:t>5.</w:t>
            </w:r>
          </w:p>
        </w:tc>
        <w:tc>
          <w:tcPr>
            <w:tcW w:w="2000" w:type="dxa"/>
            <w:tcBorders>
              <w:top w:val="single" w:sz="6" w:space="0" w:color="FFFFFF"/>
              <w:left w:val="single" w:sz="6" w:space="0" w:color="FFFFFF"/>
              <w:bottom w:val="single" w:sz="12" w:space="0" w:color="auto"/>
              <w:right w:val="single" w:sz="6" w:space="0" w:color="FFFFFF"/>
            </w:tcBorders>
            <w:tcMar>
              <w:top w:w="51" w:type="dxa"/>
              <w:bottom w:w="11" w:type="dxa"/>
            </w:tcMar>
          </w:tcPr>
          <w:p w14:paraId="65EB4FC3" w14:textId="77777777" w:rsidR="006E5B1D" w:rsidRDefault="006E5B1D" w:rsidP="009732E2"/>
        </w:tc>
        <w:tc>
          <w:tcPr>
            <w:tcW w:w="3441" w:type="dxa"/>
            <w:tcBorders>
              <w:top w:val="single" w:sz="6" w:space="0" w:color="FFFFFF"/>
              <w:left w:val="single" w:sz="7" w:space="0" w:color="000000"/>
              <w:bottom w:val="single" w:sz="12" w:space="0" w:color="auto"/>
              <w:right w:val="single" w:sz="6" w:space="0" w:color="FFFFFF"/>
            </w:tcBorders>
            <w:tcMar>
              <w:top w:w="51" w:type="dxa"/>
              <w:bottom w:w="11" w:type="dxa"/>
            </w:tcMar>
          </w:tcPr>
          <w:p w14:paraId="0F5FD917" w14:textId="77777777" w:rsidR="006E5B1D" w:rsidRDefault="006E5B1D" w:rsidP="009732E2"/>
        </w:tc>
        <w:tc>
          <w:tcPr>
            <w:tcW w:w="1276" w:type="dxa"/>
            <w:tcBorders>
              <w:top w:val="single" w:sz="6" w:space="0" w:color="FFFFFF"/>
              <w:left w:val="single" w:sz="7" w:space="0" w:color="000000"/>
              <w:bottom w:val="single" w:sz="12" w:space="0" w:color="auto"/>
              <w:right w:val="single" w:sz="6" w:space="0" w:color="FFFFFF"/>
            </w:tcBorders>
            <w:tcMar>
              <w:top w:w="51" w:type="dxa"/>
              <w:bottom w:w="11" w:type="dxa"/>
            </w:tcMar>
          </w:tcPr>
          <w:p w14:paraId="6B17F463" w14:textId="77777777" w:rsidR="006E5B1D" w:rsidRDefault="006E5B1D" w:rsidP="009732E2">
            <w:pPr>
              <w:jc w:val="right"/>
            </w:pPr>
          </w:p>
        </w:tc>
        <w:tc>
          <w:tcPr>
            <w:tcW w:w="1509" w:type="dxa"/>
            <w:tcBorders>
              <w:top w:val="single" w:sz="6" w:space="0" w:color="FFFFFF"/>
              <w:left w:val="single" w:sz="7" w:space="0" w:color="000000"/>
              <w:bottom w:val="single" w:sz="12" w:space="0" w:color="auto"/>
              <w:right w:val="single" w:sz="12" w:space="0" w:color="auto"/>
            </w:tcBorders>
            <w:tcMar>
              <w:top w:w="51" w:type="dxa"/>
              <w:bottom w:w="11" w:type="dxa"/>
            </w:tcMar>
          </w:tcPr>
          <w:p w14:paraId="11075A2D" w14:textId="77777777" w:rsidR="006E5B1D" w:rsidRDefault="006E5B1D" w:rsidP="009732E2">
            <w:pPr>
              <w:jc w:val="center"/>
            </w:pPr>
          </w:p>
        </w:tc>
      </w:tr>
    </w:tbl>
    <w:p w14:paraId="47879852" w14:textId="77777777" w:rsidR="006E5B1D" w:rsidRDefault="0068286B" w:rsidP="009732E2">
      <w:r>
        <w:rPr>
          <w:noProof/>
          <w:lang w:eastAsia="en-AU"/>
        </w:rPr>
        <w:pict w14:anchorId="598B647E">
          <v:shape id="_x0000_s1033" type="#_x0000_t202" style="position:absolute;margin-left:0;margin-top:779.65pt;width:481.9pt;height:36.85pt;z-index:-251658240;mso-wrap-distance-top:5.65pt;mso-position-horizontal:center;mso-position-horizontal-relative:page;mso-position-vertical-relative:page" stroked="f">
            <v:textbox style="mso-next-textbox:#_x0000_s1033" inset="0,,0">
              <w:txbxContent>
                <w:p w14:paraId="2BD6DD7B" w14:textId="77777777" w:rsidR="00D56893" w:rsidRDefault="00D56893" w:rsidP="009850E8">
                  <w:pPr>
                    <w:pBdr>
                      <w:top w:val="single" w:sz="6" w:space="1" w:color="000000"/>
                    </w:pBdr>
                    <w:spacing w:line="60" w:lineRule="exact"/>
                    <w:jc w:val="right"/>
                    <w:rPr>
                      <w:b/>
                    </w:rPr>
                  </w:pPr>
                </w:p>
                <w:p w14:paraId="6CFB8DA0" w14:textId="634A4632" w:rsidR="00D56893" w:rsidRDefault="00D56893" w:rsidP="009850E8">
                  <w:pPr>
                    <w:pBdr>
                      <w:top w:val="single" w:sz="6" w:space="1" w:color="000000"/>
                    </w:pBdr>
                    <w:jc w:val="right"/>
                  </w:pPr>
                  <w:r>
                    <w:rPr>
                      <w:b/>
                    </w:rPr>
                    <w:t>©</w:t>
                  </w:r>
                  <w:r>
                    <w:t xml:space="preserve"> </w:t>
                  </w:r>
                  <w:r w:rsidR="0068286B">
                    <w:t>Department of Transport</w:t>
                  </w:r>
                  <w:r>
                    <w:t xml:space="preserve">  December 2014</w:t>
                  </w:r>
                </w:p>
                <w:p w14:paraId="09751A15" w14:textId="77777777" w:rsidR="00D56893" w:rsidRDefault="00D56893" w:rsidP="009850E8">
                  <w:pPr>
                    <w:jc w:val="right"/>
                  </w:pPr>
                  <w:r>
                    <w:t>Section 706 (Page 4 of 4)</w:t>
                  </w:r>
                </w:p>
                <w:p w14:paraId="6C763AEB" w14:textId="77777777" w:rsidR="00D56893" w:rsidRDefault="00D56893" w:rsidP="009850E8">
                  <w:pPr>
                    <w:jc w:val="right"/>
                  </w:pPr>
                </w:p>
              </w:txbxContent>
            </v:textbox>
            <w10:wrap anchorx="page" anchory="page"/>
            <w10:anchorlock/>
          </v:shape>
        </w:pict>
      </w:r>
    </w:p>
    <w:sectPr w:rsidR="006E5B1D" w:rsidSect="004D6E7B">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579F7" w14:textId="77777777" w:rsidR="00BD4B43" w:rsidRDefault="00BD4B43">
      <w:r>
        <w:separator/>
      </w:r>
    </w:p>
  </w:endnote>
  <w:endnote w:type="continuationSeparator" w:id="0">
    <w:p w14:paraId="0E31E2BC" w14:textId="77777777" w:rsidR="00BD4B43" w:rsidRDefault="00BD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B09C4" w14:textId="77777777" w:rsidR="00BD4B43" w:rsidRDefault="00BD4B43">
      <w:r>
        <w:separator/>
      </w:r>
    </w:p>
  </w:footnote>
  <w:footnote w:type="continuationSeparator" w:id="0">
    <w:p w14:paraId="12C974AD" w14:textId="77777777" w:rsidR="00BD4B43" w:rsidRDefault="00BD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4CD7" w14:textId="4B4475F3" w:rsidR="00D56893" w:rsidRDefault="0068286B">
    <w:pPr>
      <w:pBdr>
        <w:bottom w:val="single" w:sz="8" w:space="1" w:color="auto"/>
      </w:pBdr>
      <w:jc w:val="right"/>
    </w:pPr>
    <w:r>
      <w:t>Department of Transport</w:t>
    </w:r>
  </w:p>
  <w:p w14:paraId="76B59F68" w14:textId="77777777" w:rsidR="00D56893" w:rsidRDefault="00D56893">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906C8"/>
    <w:multiLevelType w:val="hybridMultilevel"/>
    <w:tmpl w:val="F4643AE6"/>
    <w:lvl w:ilvl="0" w:tplc="264A2E20">
      <w:start w:val="3"/>
      <w:numFmt w:val="lowerRoman"/>
      <w:lvlText w:val="(%1)"/>
      <w:lvlJc w:val="left"/>
      <w:pPr>
        <w:tabs>
          <w:tab w:val="num" w:pos="1004"/>
        </w:tabs>
        <w:ind w:left="1004" w:hanging="72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71EE1AC3"/>
    <w:multiLevelType w:val="hybridMultilevel"/>
    <w:tmpl w:val="CBE485A6"/>
    <w:lvl w:ilvl="0" w:tplc="83665FE8">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25B"/>
    <w:rsid w:val="00037859"/>
    <w:rsid w:val="00062A6C"/>
    <w:rsid w:val="00076DF5"/>
    <w:rsid w:val="0008366D"/>
    <w:rsid w:val="000A758F"/>
    <w:rsid w:val="000C3CAD"/>
    <w:rsid w:val="000C747A"/>
    <w:rsid w:val="001336E7"/>
    <w:rsid w:val="0015321C"/>
    <w:rsid w:val="00160BF8"/>
    <w:rsid w:val="001779CA"/>
    <w:rsid w:val="001852A9"/>
    <w:rsid w:val="001E04F3"/>
    <w:rsid w:val="002279B7"/>
    <w:rsid w:val="00246FE2"/>
    <w:rsid w:val="002478FC"/>
    <w:rsid w:val="0027642F"/>
    <w:rsid w:val="00291273"/>
    <w:rsid w:val="002958C4"/>
    <w:rsid w:val="0033792C"/>
    <w:rsid w:val="00374222"/>
    <w:rsid w:val="003A674D"/>
    <w:rsid w:val="003D07DE"/>
    <w:rsid w:val="004B7104"/>
    <w:rsid w:val="004D6E7B"/>
    <w:rsid w:val="004F1C2B"/>
    <w:rsid w:val="00534473"/>
    <w:rsid w:val="0056414C"/>
    <w:rsid w:val="005B0969"/>
    <w:rsid w:val="005B0C4D"/>
    <w:rsid w:val="00653B7E"/>
    <w:rsid w:val="0068286B"/>
    <w:rsid w:val="006A384D"/>
    <w:rsid w:val="006E5B1D"/>
    <w:rsid w:val="007026BA"/>
    <w:rsid w:val="00756A38"/>
    <w:rsid w:val="007764F0"/>
    <w:rsid w:val="00777ADE"/>
    <w:rsid w:val="00796224"/>
    <w:rsid w:val="007B6661"/>
    <w:rsid w:val="008437DA"/>
    <w:rsid w:val="00897731"/>
    <w:rsid w:val="009104AC"/>
    <w:rsid w:val="00913492"/>
    <w:rsid w:val="009342FD"/>
    <w:rsid w:val="00944C54"/>
    <w:rsid w:val="009732E2"/>
    <w:rsid w:val="009850E8"/>
    <w:rsid w:val="009B4BEB"/>
    <w:rsid w:val="009D0D1F"/>
    <w:rsid w:val="00A20A91"/>
    <w:rsid w:val="00A568C6"/>
    <w:rsid w:val="00AB588A"/>
    <w:rsid w:val="00AD64EC"/>
    <w:rsid w:val="00B14F6C"/>
    <w:rsid w:val="00B20D56"/>
    <w:rsid w:val="00B36BB8"/>
    <w:rsid w:val="00B577B5"/>
    <w:rsid w:val="00BD4B43"/>
    <w:rsid w:val="00BF0722"/>
    <w:rsid w:val="00C02C2B"/>
    <w:rsid w:val="00C147F9"/>
    <w:rsid w:val="00C16393"/>
    <w:rsid w:val="00C319D7"/>
    <w:rsid w:val="00C557A7"/>
    <w:rsid w:val="00C83CA9"/>
    <w:rsid w:val="00CF0A09"/>
    <w:rsid w:val="00CF1D4B"/>
    <w:rsid w:val="00D30617"/>
    <w:rsid w:val="00D56893"/>
    <w:rsid w:val="00D77024"/>
    <w:rsid w:val="00D77C99"/>
    <w:rsid w:val="00DA00FB"/>
    <w:rsid w:val="00DC2366"/>
    <w:rsid w:val="00DE3F2F"/>
    <w:rsid w:val="00E174F0"/>
    <w:rsid w:val="00E17D05"/>
    <w:rsid w:val="00E2116A"/>
    <w:rsid w:val="00EC1896"/>
    <w:rsid w:val="00EC425B"/>
    <w:rsid w:val="00F1261C"/>
    <w:rsid w:val="00F14F0E"/>
    <w:rsid w:val="00F7019B"/>
    <w:rsid w:val="00F9392A"/>
    <w:rsid w:val="00F96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2D698D3"/>
  <w15:chartTrackingRefBased/>
  <w15:docId w15:val="{BEE8EE2B-6D89-43A9-8F23-F4E13F72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7DE"/>
    <w:rPr>
      <w:rFonts w:ascii="Arial" w:hAnsi="Arial"/>
      <w:lang w:eastAsia="en-US"/>
    </w:rPr>
  </w:style>
  <w:style w:type="paragraph" w:styleId="Heading1">
    <w:name w:val="heading 1"/>
    <w:basedOn w:val="Normal"/>
    <w:next w:val="Normal"/>
    <w:qFormat/>
    <w:rsid w:val="00A568C6"/>
    <w:pPr>
      <w:keepNext/>
      <w:outlineLvl w:val="0"/>
    </w:pPr>
    <w:rPr>
      <w:rFonts w:cs="Arial"/>
      <w:b/>
      <w:bCs/>
      <w:sz w:val="28"/>
      <w:szCs w:val="32"/>
    </w:rPr>
  </w:style>
  <w:style w:type="paragraph" w:styleId="Heading2">
    <w:name w:val="heading 2"/>
    <w:basedOn w:val="Normal"/>
    <w:next w:val="Normal"/>
    <w:qFormat/>
    <w:rsid w:val="00A568C6"/>
    <w:pPr>
      <w:keepNext/>
      <w:outlineLvl w:val="1"/>
    </w:pPr>
    <w:rPr>
      <w:rFonts w:cs="Arial"/>
      <w:b/>
      <w:bCs/>
      <w:iCs/>
      <w:color w:val="000000"/>
      <w:sz w:val="28"/>
      <w:szCs w:val="28"/>
    </w:rPr>
  </w:style>
  <w:style w:type="paragraph" w:styleId="Heading3">
    <w:name w:val="heading 3"/>
    <w:basedOn w:val="Normal"/>
    <w:next w:val="Normal"/>
    <w:link w:val="Heading3Char"/>
    <w:qFormat/>
    <w:rsid w:val="00A568C6"/>
    <w:pPr>
      <w:keepNext/>
      <w:numPr>
        <w:ilvl w:val="2"/>
        <w:numId w:val="4"/>
      </w:numPr>
      <w:outlineLvl w:val="2"/>
    </w:pPr>
    <w:rPr>
      <w:rFonts w:cs="Arial"/>
      <w:b/>
      <w:bCs/>
      <w:szCs w:val="26"/>
    </w:rPr>
  </w:style>
  <w:style w:type="paragraph" w:styleId="Heading4">
    <w:name w:val="heading 4"/>
    <w:basedOn w:val="Normal"/>
    <w:next w:val="Normal"/>
    <w:link w:val="Heading4Char"/>
    <w:qFormat/>
    <w:rsid w:val="00A568C6"/>
    <w:pPr>
      <w:keepNext/>
      <w:numPr>
        <w:ilvl w:val="3"/>
        <w:numId w:val="4"/>
      </w:numPr>
      <w:spacing w:after="200"/>
      <w:outlineLvl w:val="3"/>
    </w:pPr>
    <w:rPr>
      <w:b/>
      <w:bCs/>
      <w:szCs w:val="28"/>
    </w:rPr>
  </w:style>
  <w:style w:type="paragraph" w:styleId="Heading5">
    <w:name w:val="heading 5"/>
    <w:basedOn w:val="Heading4"/>
    <w:next w:val="Normal"/>
    <w:qFormat/>
    <w:rsid w:val="00A568C6"/>
    <w:pPr>
      <w:numPr>
        <w:ilvl w:val="4"/>
      </w:numPr>
      <w:outlineLvl w:val="4"/>
    </w:pPr>
    <w:rPr>
      <w:b w:val="0"/>
      <w:bCs w:val="0"/>
      <w:szCs w:val="22"/>
    </w:rPr>
  </w:style>
  <w:style w:type="paragraph" w:styleId="Heading6">
    <w:name w:val="heading 6"/>
    <w:basedOn w:val="Normal"/>
    <w:next w:val="Normal"/>
    <w:link w:val="Heading6Char"/>
    <w:qFormat/>
    <w:rsid w:val="00A568C6"/>
    <w:pPr>
      <w:numPr>
        <w:ilvl w:val="5"/>
        <w:numId w:val="4"/>
      </w:numPr>
      <w:spacing w:after="200"/>
      <w:outlineLvl w:val="5"/>
    </w:pPr>
    <w:rPr>
      <w:bCs/>
      <w:szCs w:val="22"/>
    </w:rPr>
  </w:style>
  <w:style w:type="paragraph" w:styleId="Heading7">
    <w:name w:val="heading 7"/>
    <w:basedOn w:val="Normal"/>
    <w:next w:val="Normal"/>
    <w:qFormat/>
    <w:rsid w:val="00A568C6"/>
    <w:pPr>
      <w:tabs>
        <w:tab w:val="left" w:pos="567"/>
      </w:tabs>
      <w:outlineLvl w:val="6"/>
    </w:pPr>
    <w:rPr>
      <w:szCs w:val="24"/>
    </w:rPr>
  </w:style>
  <w:style w:type="paragraph" w:styleId="Heading8">
    <w:name w:val="heading 8"/>
    <w:basedOn w:val="Normal"/>
    <w:next w:val="Normal"/>
    <w:qFormat/>
    <w:rsid w:val="00A568C6"/>
    <w:pPr>
      <w:spacing w:before="240" w:after="60"/>
      <w:outlineLvl w:val="7"/>
    </w:pPr>
    <w:rPr>
      <w:i/>
      <w:iCs/>
      <w:sz w:val="24"/>
      <w:szCs w:val="24"/>
    </w:rPr>
  </w:style>
  <w:style w:type="paragraph" w:styleId="Heading9">
    <w:name w:val="heading 9"/>
    <w:basedOn w:val="Normal"/>
    <w:next w:val="Normal"/>
    <w:qFormat/>
    <w:rsid w:val="00A568C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DocumentMap">
    <w:name w:val="Document Map"/>
    <w:basedOn w:val="Normal"/>
    <w:rsid w:val="00A568C6"/>
    <w:pPr>
      <w:shd w:val="clear" w:color="auto" w:fill="000080"/>
    </w:pPr>
    <w:rPr>
      <w:rFonts w:ascii="Comic Sans MS" w:hAnsi="Comic Sans MS" w:cs="Tahoma"/>
    </w:rPr>
  </w:style>
  <w:style w:type="paragraph" w:customStyle="1" w:styleId="Heading2SS">
    <w:name w:val="Heading 2 + SS"/>
    <w:basedOn w:val="Heading2"/>
    <w:rsid w:val="00D56893"/>
    <w:pPr>
      <w:keepNext w:val="0"/>
      <w:tabs>
        <w:tab w:val="left" w:pos="1985"/>
        <w:tab w:val="left" w:pos="2268"/>
      </w:tabs>
      <w:ind w:left="2268" w:hanging="2268"/>
    </w:pPr>
  </w:style>
  <w:style w:type="paragraph" w:customStyle="1" w:styleId="Heading3SS">
    <w:name w:val="Heading 3 + SS"/>
    <w:basedOn w:val="Heading3"/>
    <w:link w:val="Heading3SSChar"/>
    <w:rsid w:val="00D56893"/>
    <w:pPr>
      <w:keepNext w:val="0"/>
      <w:numPr>
        <w:ilvl w:val="0"/>
        <w:numId w:val="0"/>
      </w:numPr>
      <w:tabs>
        <w:tab w:val="left" w:pos="851"/>
      </w:tabs>
      <w:ind w:left="851" w:hanging="851"/>
    </w:pPr>
  </w:style>
  <w:style w:type="character" w:customStyle="1" w:styleId="Heading3Char">
    <w:name w:val="Heading 3 Char"/>
    <w:link w:val="Heading3"/>
    <w:rsid w:val="00A568C6"/>
    <w:rPr>
      <w:rFonts w:cs="Arial"/>
      <w:b/>
      <w:bCs/>
      <w:szCs w:val="26"/>
      <w:lang w:val="en-AU" w:eastAsia="en-US" w:bidi="ar-SA"/>
    </w:rPr>
  </w:style>
  <w:style w:type="character" w:customStyle="1" w:styleId="Heading3SSChar">
    <w:name w:val="Heading 3 + SS Char"/>
    <w:link w:val="Heading3SS"/>
    <w:rsid w:val="00D56893"/>
    <w:rPr>
      <w:rFonts w:ascii="Arial" w:hAnsi="Arial" w:cs="Arial"/>
      <w:b/>
      <w:bCs/>
      <w:szCs w:val="26"/>
      <w:lang w:val="en-AU" w:eastAsia="en-US" w:bidi="ar-SA"/>
    </w:rPr>
  </w:style>
  <w:style w:type="character" w:customStyle="1" w:styleId="Heading4Char">
    <w:name w:val="Heading 4 Char"/>
    <w:link w:val="Heading4"/>
    <w:rsid w:val="00A568C6"/>
    <w:rPr>
      <w:b/>
      <w:bCs/>
      <w:szCs w:val="28"/>
      <w:lang w:val="en-AU" w:eastAsia="en-US" w:bidi="ar-SA"/>
    </w:rPr>
  </w:style>
  <w:style w:type="paragraph" w:customStyle="1" w:styleId="Heading5SS">
    <w:name w:val="Heading 5 +SS"/>
    <w:basedOn w:val="Heading5"/>
    <w:rsid w:val="003D07DE"/>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A568C6"/>
    <w:rPr>
      <w:bCs/>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706</vt:lpstr>
    </vt:vector>
  </TitlesOfParts>
  <Company>VicRoads</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706</dc:title>
  <dc:subject>Installation or Replacement of Utility Infrastructure within Road Reserves</dc:subject>
  <dc:creator>VicRoads</dc:creator>
  <cp:keywords/>
  <dc:description/>
  <cp:lastModifiedBy>Robyn Robb</cp:lastModifiedBy>
  <cp:revision>3</cp:revision>
  <cp:lastPrinted>1999-12-07T01:19:00Z</cp:lastPrinted>
  <dcterms:created xsi:type="dcterms:W3CDTF">2019-12-10T01:15:00Z</dcterms:created>
  <dcterms:modified xsi:type="dcterms:W3CDTF">2021-03-11T00:28:00Z</dcterms:modified>
</cp:coreProperties>
</file>