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706DC" w14:textId="77777777" w:rsidR="00DC2BDB" w:rsidRPr="00924210" w:rsidRDefault="00DC2BDB" w:rsidP="005D3839">
      <w:pPr>
        <w:pStyle w:val="Heading2SS"/>
      </w:pPr>
      <w:r w:rsidRPr="00924210">
        <w:t>SECTION 306</w:t>
      </w:r>
      <w:r w:rsidRPr="00924210">
        <w:tab/>
      </w:r>
      <w:r w:rsidRPr="00924210">
        <w:noBreakHyphen/>
      </w:r>
      <w:r w:rsidRPr="00924210">
        <w:tab/>
        <w:t>CEMENT</w:t>
      </w:r>
      <w:r w:rsidR="00AF3CCD">
        <w:t>ITIOUS</w:t>
      </w:r>
      <w:r w:rsidRPr="00924210">
        <w:t xml:space="preserve"> TREATED</w:t>
      </w:r>
      <w:r w:rsidR="003B5D8A">
        <w:t xml:space="preserve"> </w:t>
      </w:r>
      <w:r w:rsidR="00827715">
        <w:t>PAVEMENT</w:t>
      </w:r>
      <w:r w:rsidR="004F2A12" w:rsidRPr="00924210">
        <w:t xml:space="preserve"> SUBBASE</w:t>
      </w:r>
      <w:r w:rsidR="004F2A12" w:rsidRPr="002A7441">
        <w:t xml:space="preserve"> </w:t>
      </w:r>
      <w:r w:rsidRPr="002A7441">
        <w:fldChar w:fldCharType="begin"/>
      </w:r>
      <w:r w:rsidRPr="002A7441">
        <w:instrText>tc \l1 "SECTION 306</w:instrText>
      </w:r>
      <w:r w:rsidR="00FD2DFE" w:rsidRPr="002A7441">
        <w:instrText xml:space="preserve">  </w:instrText>
      </w:r>
      <w:r w:rsidRPr="002A7441">
        <w:noBreakHyphen/>
      </w:r>
      <w:r w:rsidR="00FD2DFE" w:rsidRPr="002A7441">
        <w:instrText xml:space="preserve">  </w:instrText>
      </w:r>
      <w:r w:rsidRPr="002A7441">
        <w:instrText>CEMENT</w:instrText>
      </w:r>
      <w:r w:rsidR="00AF3CCD" w:rsidRPr="002A7441">
        <w:instrText>ITIOUS</w:instrText>
      </w:r>
      <w:r w:rsidRPr="002A7441">
        <w:instrText xml:space="preserve"> TREATED</w:instrText>
      </w:r>
      <w:r w:rsidR="002A7441" w:rsidRPr="002A7441">
        <w:instrText xml:space="preserve"> </w:instrText>
      </w:r>
      <w:r w:rsidR="007C1127" w:rsidRPr="002A7441">
        <w:instrText>PAVEMENT</w:instrText>
      </w:r>
      <w:r w:rsidR="004F2A12" w:rsidRPr="002A7441">
        <w:instrText xml:space="preserve"> SUBBASE </w:instrText>
      </w:r>
      <w:r w:rsidRPr="002A7441">
        <w:fldChar w:fldCharType="end"/>
      </w:r>
    </w:p>
    <w:p w14:paraId="04DEDEDF" w14:textId="77777777" w:rsidR="008E1432" w:rsidRDefault="00DC2BDB" w:rsidP="005A5C6E">
      <w:pPr>
        <w:spacing w:before="200"/>
      </w:pPr>
      <w:r>
        <w:t xml:space="preserve">##This section cross-references Sections 173, </w:t>
      </w:r>
      <w:r w:rsidR="00492B2D">
        <w:t>175</w:t>
      </w:r>
      <w:r w:rsidR="00A1570D">
        <w:t xml:space="preserve"> and</w:t>
      </w:r>
      <w:r w:rsidR="00492B2D">
        <w:t xml:space="preserve"> </w:t>
      </w:r>
      <w:r>
        <w:t>815</w:t>
      </w:r>
      <w:r w:rsidR="008E1432">
        <w:t>.</w:t>
      </w:r>
    </w:p>
    <w:p w14:paraId="7518C648" w14:textId="77777777" w:rsidR="008E1432" w:rsidRDefault="008E1432" w:rsidP="008E1432">
      <w:r>
        <w:t>If any of the above sections are relevant, they should be included in the specification.</w:t>
      </w:r>
    </w:p>
    <w:p w14:paraId="527BBDFA" w14:textId="77777777" w:rsidR="00DC2BDB" w:rsidRDefault="008E1432" w:rsidP="008E1432">
      <w:pPr>
        <w:rPr>
          <w:lang w:val="en-AU"/>
        </w:rPr>
      </w:pPr>
      <w:r>
        <w:t>If any of the above sections are not included in the specification, all references to those sections should be struck out, ensuring that the remaining text is still coherent</w:t>
      </w:r>
      <w:r w:rsidR="00D01641">
        <w:t>.  DELETE THIS NOTE FROM FINAL DOCUMENT.</w:t>
      </w:r>
    </w:p>
    <w:p w14:paraId="7034098B" w14:textId="77777777" w:rsidR="00DC2BDB" w:rsidRDefault="00D01641" w:rsidP="00D01641">
      <w:pPr>
        <w:spacing w:before="100"/>
        <w:rPr>
          <w:lang w:val="en-AU"/>
        </w:rPr>
      </w:pPr>
      <w:r>
        <w:rPr>
          <w:lang w:val="en-AU"/>
        </w:rPr>
        <w:t xml:space="preserve">:##Include the option to use crushed concrete as a specified </w:t>
      </w:r>
      <w:r w:rsidR="002A7441">
        <w:rPr>
          <w:lang w:val="en-AU"/>
        </w:rPr>
        <w:t>alternative to the use of Class </w:t>
      </w:r>
      <w:r>
        <w:rPr>
          <w:lang w:val="en-AU"/>
        </w:rPr>
        <w:t>3 or Class</w:t>
      </w:r>
      <w:r w:rsidR="002A7441">
        <w:rPr>
          <w:lang w:val="en-AU"/>
        </w:rPr>
        <w:t> </w:t>
      </w:r>
      <w:r>
        <w:rPr>
          <w:lang w:val="en-AU"/>
        </w:rPr>
        <w:t>4 pavement materials manufactured from crushed rock.  Show on the drawings as necessary.</w:t>
      </w:r>
      <w:r>
        <w:t xml:space="preserve"> DELETE THIS NOTE FROM FINAL DOCUMENT:</w:t>
      </w:r>
    </w:p>
    <w:p w14:paraId="175EFEA7" w14:textId="77777777" w:rsidR="00D01641" w:rsidRDefault="00D01641" w:rsidP="00E1551A">
      <w:pPr>
        <w:rPr>
          <w:lang w:val="en-AU"/>
        </w:rPr>
      </w:pPr>
    </w:p>
    <w:p w14:paraId="325C0889" w14:textId="77777777" w:rsidR="002566CA" w:rsidRDefault="002566CA" w:rsidP="00E1551A">
      <w:pPr>
        <w:rPr>
          <w:lang w:val="en-AU"/>
        </w:rPr>
      </w:pPr>
    </w:p>
    <w:p w14:paraId="0FC04EA2" w14:textId="77777777" w:rsidR="00DC2BDB" w:rsidRDefault="00DC2BDB" w:rsidP="0027402B">
      <w:pPr>
        <w:pStyle w:val="Heading3SS"/>
      </w:pPr>
      <w:r>
        <w:t>306.01</w:t>
      </w:r>
      <w:r>
        <w:tab/>
        <w:t>DE</w:t>
      </w:r>
      <w:bookmarkStart w:id="0" w:name="np306"/>
      <w:bookmarkEnd w:id="0"/>
      <w:r>
        <w:t>SCRIPTION</w:t>
      </w:r>
    </w:p>
    <w:p w14:paraId="5F954EAD" w14:textId="77777777" w:rsidR="00DC2BDB" w:rsidRDefault="00DC2BDB" w:rsidP="00A1570D">
      <w:pPr>
        <w:spacing w:before="180"/>
        <w:rPr>
          <w:lang w:val="en-AU"/>
        </w:rPr>
      </w:pPr>
      <w:r>
        <w:rPr>
          <w:lang w:val="en-AU"/>
        </w:rPr>
        <w:t>This section covers the requirements for the delivery, spreading and compaction of plant mixed crushed rock and recycled crushed concrete for the construction of pavement</w:t>
      </w:r>
      <w:r w:rsidR="00975EDB">
        <w:rPr>
          <w:lang w:val="en-AU"/>
        </w:rPr>
        <w:t xml:space="preserve"> subbase</w:t>
      </w:r>
      <w:r w:rsidR="00D466E4">
        <w:rPr>
          <w:lang w:val="en-AU"/>
        </w:rPr>
        <w:t xml:space="preserve">, </w:t>
      </w:r>
      <w:r>
        <w:rPr>
          <w:lang w:val="en-AU"/>
        </w:rPr>
        <w:t>treated with cementit</w:t>
      </w:r>
      <w:r w:rsidR="00D6069F">
        <w:rPr>
          <w:lang w:val="en-AU"/>
        </w:rPr>
        <w:t>i</w:t>
      </w:r>
      <w:r>
        <w:rPr>
          <w:lang w:val="en-AU"/>
        </w:rPr>
        <w:t xml:space="preserve">ous binder to produce a modified or bound subbase.  This section is to be read in conjunction with Section 815 </w:t>
      </w:r>
      <w:r w:rsidRPr="00A1570D">
        <w:rPr>
          <w:i/>
          <w:lang w:val="en-AU"/>
        </w:rPr>
        <w:t>Cementitious Treated Crushed Rock for</w:t>
      </w:r>
      <w:r w:rsidR="00D6069F" w:rsidRPr="00A1570D">
        <w:rPr>
          <w:i/>
          <w:lang w:val="en-AU"/>
        </w:rPr>
        <w:t xml:space="preserve"> </w:t>
      </w:r>
      <w:r w:rsidR="00827715" w:rsidRPr="00A1570D">
        <w:rPr>
          <w:i/>
          <w:lang w:val="en-AU"/>
        </w:rPr>
        <w:t>Pavement</w:t>
      </w:r>
      <w:r w:rsidR="00975EDB" w:rsidRPr="00A1570D">
        <w:rPr>
          <w:i/>
          <w:lang w:val="en-AU"/>
        </w:rPr>
        <w:t xml:space="preserve"> Subbase</w:t>
      </w:r>
      <w:r w:rsidR="00A1570D">
        <w:rPr>
          <w:i/>
          <w:lang w:val="en-AU"/>
        </w:rPr>
        <w:t>.</w:t>
      </w:r>
    </w:p>
    <w:p w14:paraId="7DF83B07" w14:textId="77777777" w:rsidR="00DC2BDB" w:rsidRDefault="00DC2BDB" w:rsidP="00A1570D">
      <w:pPr>
        <w:rPr>
          <w:lang w:val="en-AU"/>
        </w:rPr>
      </w:pPr>
    </w:p>
    <w:p w14:paraId="36FD893C" w14:textId="77777777" w:rsidR="00DC2BDB" w:rsidRPr="00E1551A" w:rsidRDefault="00DC2BDB" w:rsidP="00A1570D">
      <w:pPr>
        <w:rPr>
          <w:lang w:val="en-AU"/>
        </w:rPr>
      </w:pPr>
    </w:p>
    <w:p w14:paraId="378688DB" w14:textId="77777777" w:rsidR="00DC2BDB" w:rsidRDefault="00DC2BDB" w:rsidP="00454D59">
      <w:pPr>
        <w:pStyle w:val="Heading3SS"/>
      </w:pPr>
      <w:r>
        <w:t>306.02</w:t>
      </w:r>
      <w:r>
        <w:tab/>
        <w:t>DEFINITIONS</w:t>
      </w:r>
    </w:p>
    <w:p w14:paraId="3F3D0D07" w14:textId="77777777" w:rsidR="00DC2BDB" w:rsidRPr="0027402B" w:rsidRDefault="00DC2BDB" w:rsidP="00150F09">
      <w:pPr>
        <w:spacing w:before="180"/>
        <w:rPr>
          <w:b/>
          <w:lang w:val="en-AU"/>
        </w:rPr>
      </w:pPr>
      <w:r w:rsidRPr="0027402B">
        <w:rPr>
          <w:b/>
          <w:lang w:val="en-AU"/>
        </w:rPr>
        <w:t>Cementitious Binder</w:t>
      </w:r>
    </w:p>
    <w:p w14:paraId="2429ACB9" w14:textId="77777777" w:rsidR="00DC2BDB" w:rsidRDefault="00DC2BDB" w:rsidP="00150F09">
      <w:pPr>
        <w:spacing w:before="140"/>
        <w:rPr>
          <w:lang w:val="en-AU"/>
        </w:rPr>
      </w:pPr>
      <w:r>
        <w:rPr>
          <w:lang w:val="en-AU"/>
        </w:rPr>
        <w:t>A cementi</w:t>
      </w:r>
      <w:r w:rsidR="00F424C3">
        <w:rPr>
          <w:lang w:val="en-AU"/>
        </w:rPr>
        <w:t>tious material capable</w:t>
      </w:r>
      <w:r>
        <w:rPr>
          <w:lang w:val="en-AU"/>
        </w:rPr>
        <w:t xml:space="preserve"> of </w:t>
      </w:r>
      <w:r w:rsidR="00F424C3">
        <w:rPr>
          <w:lang w:val="en-AU"/>
        </w:rPr>
        <w:t xml:space="preserve">being uniformly mixed into </w:t>
      </w:r>
      <w:r>
        <w:rPr>
          <w:lang w:val="en-AU"/>
        </w:rPr>
        <w:t xml:space="preserve">a granular pavement material </w:t>
      </w:r>
      <w:r w:rsidR="00F424C3">
        <w:rPr>
          <w:lang w:val="en-AU"/>
        </w:rPr>
        <w:t xml:space="preserve">to bind the particles </w:t>
      </w:r>
      <w:r>
        <w:rPr>
          <w:lang w:val="en-AU"/>
        </w:rPr>
        <w:t>together to increase its strength.  Cementitious binders include Portland cement Type GP or blended cement Type GB, hydrated lime, quicklime, or a blend of ground granulated blast furnace slag (GGBFS), hydrated lime, fly ash, alkali activated slag or other pozzolanic material supplied in accordance with this specification.</w:t>
      </w:r>
    </w:p>
    <w:p w14:paraId="6DD3ED40" w14:textId="77777777" w:rsidR="00DC2BDB" w:rsidRPr="0027402B" w:rsidRDefault="00DC2BDB" w:rsidP="00150F09">
      <w:pPr>
        <w:spacing w:before="180"/>
        <w:rPr>
          <w:b/>
          <w:lang w:val="en-AU"/>
        </w:rPr>
      </w:pPr>
      <w:r w:rsidRPr="0027402B">
        <w:rPr>
          <w:b/>
          <w:lang w:val="en-AU"/>
        </w:rPr>
        <w:t>Maximum Allowable Working Time</w:t>
      </w:r>
    </w:p>
    <w:p w14:paraId="7641AB5B" w14:textId="77777777" w:rsidR="00DC2BDB" w:rsidRDefault="00DC2BDB" w:rsidP="00150F09">
      <w:pPr>
        <w:spacing w:before="140"/>
        <w:rPr>
          <w:lang w:val="en-AU"/>
        </w:rPr>
      </w:pPr>
      <w:r>
        <w:rPr>
          <w:lang w:val="en-AU"/>
        </w:rPr>
        <w:t>The maximum allowable working time for the cementitious binder as specified or as determined in accordance with the relevant Test Method or Code of Practice.</w:t>
      </w:r>
    </w:p>
    <w:p w14:paraId="5057ACAE" w14:textId="77777777" w:rsidR="00DC2BDB" w:rsidRPr="0027402B" w:rsidRDefault="00DC2BDB" w:rsidP="00150F09">
      <w:pPr>
        <w:spacing w:before="180"/>
        <w:rPr>
          <w:b/>
          <w:lang w:val="en-AU"/>
        </w:rPr>
      </w:pPr>
      <w:r w:rsidRPr="0027402B">
        <w:rPr>
          <w:b/>
          <w:lang w:val="en-AU"/>
        </w:rPr>
        <w:t>Pavement Design Modulus</w:t>
      </w:r>
    </w:p>
    <w:p w14:paraId="4E887B55" w14:textId="77777777" w:rsidR="00DC2BDB" w:rsidRDefault="00DC2BDB" w:rsidP="00150F09">
      <w:pPr>
        <w:spacing w:before="140"/>
        <w:rPr>
          <w:lang w:val="en-AU"/>
        </w:rPr>
      </w:pPr>
      <w:r>
        <w:rPr>
          <w:lang w:val="en-AU"/>
        </w:rPr>
        <w:t>The presumptive modulus used as the basis for the mechanistic design of a bound pavement with a bound cementitious treated crushed rock or crushed concrete subbase.</w:t>
      </w:r>
    </w:p>
    <w:p w14:paraId="64F049D6" w14:textId="77777777" w:rsidR="00DC2BDB" w:rsidRDefault="00DC2BDB" w:rsidP="00150F09">
      <w:pPr>
        <w:spacing w:before="180"/>
        <w:rPr>
          <w:lang w:val="en-AU"/>
        </w:rPr>
      </w:pPr>
      <w:r>
        <w:rPr>
          <w:b/>
          <w:lang w:val="en-AU"/>
        </w:rPr>
        <w:t>Working Time</w:t>
      </w:r>
    </w:p>
    <w:p w14:paraId="714D8E66" w14:textId="77777777" w:rsidR="00DC2BDB" w:rsidRDefault="00DC2BDB" w:rsidP="00150F09">
      <w:pPr>
        <w:spacing w:before="140"/>
        <w:rPr>
          <w:lang w:val="en-AU"/>
        </w:rPr>
      </w:pPr>
      <w:r>
        <w:rPr>
          <w:lang w:val="en-AU"/>
        </w:rPr>
        <w:t>The time required to transport, place, compact and trim the pavement layer after the cementitious binder is added at the mixing plant.</w:t>
      </w:r>
    </w:p>
    <w:p w14:paraId="475CE254" w14:textId="77777777" w:rsidR="00A74F94" w:rsidRDefault="00A74F94" w:rsidP="00A1570D">
      <w:pPr>
        <w:rPr>
          <w:lang w:val="en-AU"/>
        </w:rPr>
      </w:pPr>
    </w:p>
    <w:p w14:paraId="51639358" w14:textId="77777777" w:rsidR="00A74F94" w:rsidRPr="00E1551A" w:rsidRDefault="00A74F94" w:rsidP="00A1570D">
      <w:pPr>
        <w:rPr>
          <w:lang w:val="en-AU"/>
        </w:rPr>
      </w:pPr>
    </w:p>
    <w:p w14:paraId="74188735" w14:textId="77777777" w:rsidR="00DC2BDB" w:rsidRDefault="00DC2BDB" w:rsidP="0027402B">
      <w:pPr>
        <w:pStyle w:val="Heading3SS"/>
      </w:pPr>
      <w:r>
        <w:t>306.03</w:t>
      </w:r>
      <w:r>
        <w:tab/>
        <w:t>CONFORMITY WITH DRAWINGS</w:t>
      </w:r>
    </w:p>
    <w:p w14:paraId="6C080033" w14:textId="77777777" w:rsidR="00DC2BDB" w:rsidRDefault="00975EDB" w:rsidP="00150F09">
      <w:pPr>
        <w:spacing w:before="180"/>
        <w:rPr>
          <w:lang w:val="en-AU"/>
        </w:rPr>
      </w:pPr>
      <w:r>
        <w:rPr>
          <w:lang w:val="en-AU"/>
        </w:rPr>
        <w:t>P</w:t>
      </w:r>
      <w:r w:rsidR="00DC2BDB">
        <w:rPr>
          <w:lang w:val="en-AU"/>
        </w:rPr>
        <w:t>avement</w:t>
      </w:r>
      <w:r>
        <w:rPr>
          <w:lang w:val="en-AU"/>
        </w:rPr>
        <w:t xml:space="preserve"> subbase</w:t>
      </w:r>
      <w:r w:rsidR="00DC2BDB">
        <w:rPr>
          <w:lang w:val="en-AU"/>
        </w:rPr>
        <w:t xml:space="preserve"> shall be finished to a smooth and uniform surface and shall, after compaction, conform within the following limits to the levels, lines, grades, thicknesses and cross sections as specified or shown on the drawings.</w:t>
      </w:r>
    </w:p>
    <w:p w14:paraId="09FC9FCA" w14:textId="77777777" w:rsidR="00DC2BDB" w:rsidRDefault="00DC2BDB" w:rsidP="00150F09">
      <w:pPr>
        <w:spacing w:line="200" w:lineRule="exact"/>
        <w:rPr>
          <w:lang w:val="en-AU"/>
        </w:rPr>
      </w:pPr>
    </w:p>
    <w:p w14:paraId="3B8AB437" w14:textId="77777777" w:rsidR="00DC2BDB" w:rsidRDefault="00DC2BDB" w:rsidP="00614435">
      <w:pPr>
        <w:pStyle w:val="Heading5SS"/>
      </w:pPr>
      <w:r>
        <w:t>(a)</w:t>
      </w:r>
      <w:r>
        <w:tab/>
        <w:t>Width and Alignment</w:t>
      </w:r>
    </w:p>
    <w:p w14:paraId="533085C9" w14:textId="77777777" w:rsidR="00DC2BDB" w:rsidRDefault="00DC2BDB" w:rsidP="00150F09">
      <w:pPr>
        <w:tabs>
          <w:tab w:val="left" w:pos="454"/>
        </w:tabs>
        <w:spacing w:before="140"/>
        <w:ind w:left="454" w:hanging="454"/>
        <w:rPr>
          <w:lang w:val="en-AU"/>
        </w:rPr>
      </w:pPr>
      <w:r>
        <w:rPr>
          <w:lang w:val="en-AU"/>
        </w:rPr>
        <w:tab/>
        <w:t>The width of pavement measured on each side of the centreline or design line shall not deviate by more than 50 mm from the designed offset</w:t>
      </w:r>
      <w:r w:rsidR="001540A4">
        <w:rPr>
          <w:lang w:val="en-AU"/>
        </w:rPr>
        <w:t xml:space="preserve"> when measured at a right angle</w:t>
      </w:r>
      <w:r>
        <w:rPr>
          <w:lang w:val="en-AU"/>
        </w:rPr>
        <w:t>.</w:t>
      </w:r>
    </w:p>
    <w:p w14:paraId="078947C4" w14:textId="77777777" w:rsidR="00FB794C" w:rsidRDefault="00FB794C" w:rsidP="00150F09">
      <w:pPr>
        <w:spacing w:line="200" w:lineRule="exact"/>
        <w:rPr>
          <w:lang w:val="en-AU"/>
        </w:rPr>
      </w:pPr>
    </w:p>
    <w:p w14:paraId="3892D237" w14:textId="77777777" w:rsidR="00065AB8" w:rsidRDefault="00065AB8" w:rsidP="00065AB8">
      <w:pPr>
        <w:pStyle w:val="Heading5SS"/>
      </w:pPr>
      <w:r>
        <w:t>(b)</w:t>
      </w:r>
      <w:r>
        <w:tab/>
        <w:t>Surface Level of Subgrade and Pavement</w:t>
      </w:r>
    </w:p>
    <w:p w14:paraId="739761AB" w14:textId="77777777" w:rsidR="00065AB8" w:rsidRDefault="00065AB8" w:rsidP="00150F09">
      <w:pPr>
        <w:tabs>
          <w:tab w:val="left" w:pos="454"/>
        </w:tabs>
        <w:spacing w:before="140"/>
        <w:ind w:left="454" w:hanging="454"/>
        <w:rPr>
          <w:lang w:val="en-AU"/>
        </w:rPr>
      </w:pPr>
      <w:r>
        <w:rPr>
          <w:lang w:val="en-AU"/>
        </w:rPr>
        <w:tab/>
        <w:t>The surface level of the subgrade and pavement courses shall be measured in accordance with the requirements of Section 173 and every test lot shall meet either Scale A, B or C requirements as specified in Clause 306.12.</w:t>
      </w:r>
    </w:p>
    <w:p w14:paraId="118AC739" w14:textId="77777777" w:rsidR="00065AB8" w:rsidRDefault="00065AB8" w:rsidP="00150F09">
      <w:pPr>
        <w:tabs>
          <w:tab w:val="left" w:pos="454"/>
        </w:tabs>
        <w:spacing w:before="140"/>
        <w:ind w:left="454" w:hanging="454"/>
        <w:rPr>
          <w:lang w:val="en-AU"/>
        </w:rPr>
      </w:pPr>
      <w:r>
        <w:rPr>
          <w:lang w:val="en-AU"/>
        </w:rPr>
        <w:tab/>
        <w:t>The maximum lot size for measurement and assessment of surface level shall be 4000 m</w:t>
      </w:r>
      <w:r w:rsidRPr="005A5C6E">
        <w:rPr>
          <w:sz w:val="22"/>
          <w:szCs w:val="22"/>
          <w:vertAlign w:val="superscript"/>
          <w:lang w:val="en-AU"/>
        </w:rPr>
        <w:t>2</w:t>
      </w:r>
      <w:r>
        <w:rPr>
          <w:lang w:val="en-AU"/>
        </w:rPr>
        <w:t>.</w:t>
      </w:r>
    </w:p>
    <w:p w14:paraId="140990FA" w14:textId="77777777" w:rsidR="00DC2BDB" w:rsidRDefault="00B612DE" w:rsidP="000F70B1">
      <w:pPr>
        <w:spacing w:line="80" w:lineRule="exact"/>
        <w:rPr>
          <w:lang w:val="en-AU"/>
        </w:rPr>
      </w:pPr>
      <w:r>
        <w:rPr>
          <w:noProof/>
          <w:snapToGrid/>
        </w:rPr>
        <w:pict w14:anchorId="3B866D0C">
          <v:shapetype id="_x0000_t202" coordsize="21600,21600" o:spt="202" path="m,l,21600r21600,l21600,xe">
            <v:stroke joinstyle="miter"/>
            <v:path gradientshapeok="t" o:connecttype="rect"/>
          </v:shapetype>
          <v:shape id="_x0000_s1038" type="#_x0000_t202" style="position:absolute;margin-left:0;margin-top:779.65pt;width:481.9pt;height:36.85pt;z-index:-251661824;mso-wrap-distance-top:5.65pt;mso-position-horizontal:center;mso-position-horizontal-relative:page;mso-position-vertical-relative:page" stroked="f">
            <v:textbox style="mso-next-textbox:#_x0000_s1038" inset="0,,0">
              <w:txbxContent>
                <w:p w14:paraId="243127D4" w14:textId="77777777" w:rsidR="00411692" w:rsidRDefault="00411692" w:rsidP="004377BA">
                  <w:pPr>
                    <w:pBdr>
                      <w:top w:val="single" w:sz="6" w:space="1" w:color="000000"/>
                    </w:pBdr>
                    <w:spacing w:line="60" w:lineRule="exact"/>
                    <w:jc w:val="right"/>
                    <w:rPr>
                      <w:b/>
                    </w:rPr>
                  </w:pPr>
                </w:p>
                <w:p w14:paraId="0CD1A8F7" w14:textId="0EC8C302" w:rsidR="00411692" w:rsidRDefault="00411692" w:rsidP="004377BA">
                  <w:pPr>
                    <w:pBdr>
                      <w:top w:val="single" w:sz="6" w:space="1" w:color="000000"/>
                    </w:pBdr>
                    <w:jc w:val="right"/>
                  </w:pPr>
                  <w:r>
                    <w:rPr>
                      <w:b/>
                    </w:rPr>
                    <w:t>©</w:t>
                  </w:r>
                  <w:r>
                    <w:t xml:space="preserve"> </w:t>
                  </w:r>
                  <w:r w:rsidR="00B612DE">
                    <w:t xml:space="preserve">Department of </w:t>
                  </w:r>
                  <w:proofErr w:type="gramStart"/>
                  <w:r w:rsidR="00B612DE">
                    <w:t>Transport</w:t>
                  </w:r>
                  <w:r>
                    <w:t xml:space="preserve">  </w:t>
                  </w:r>
                  <w:r w:rsidR="009A3C43">
                    <w:t>October</w:t>
                  </w:r>
                  <w:proofErr w:type="gramEnd"/>
                  <w:r w:rsidR="009A3C43">
                    <w:t xml:space="preserve"> 2019</w:t>
                  </w:r>
                </w:p>
                <w:p w14:paraId="624BC101" w14:textId="77777777" w:rsidR="00411692" w:rsidRDefault="00411692" w:rsidP="004377BA">
                  <w:pPr>
                    <w:jc w:val="right"/>
                  </w:pPr>
                  <w:r>
                    <w:t>Section 306 (Page 1</w:t>
                  </w:r>
                  <w:r w:rsidR="00AD4F9C">
                    <w:t xml:space="preserve"> of 7)</w:t>
                  </w:r>
                </w:p>
                <w:p w14:paraId="0F3822D3" w14:textId="77777777" w:rsidR="00411692" w:rsidRDefault="00411692" w:rsidP="004377BA"/>
              </w:txbxContent>
            </v:textbox>
            <w10:wrap anchorx="page" anchory="page"/>
            <w10:anchorlock/>
          </v:shape>
        </w:pict>
      </w:r>
      <w:r w:rsidR="00DC2BDB">
        <w:rPr>
          <w:lang w:val="en-AU"/>
        </w:rPr>
        <w:br w:type="page"/>
      </w:r>
    </w:p>
    <w:p w14:paraId="4E0B944C" w14:textId="77777777" w:rsidR="00DC2BDB" w:rsidRDefault="00FF6510" w:rsidP="008A5EE6">
      <w:pPr>
        <w:tabs>
          <w:tab w:val="left" w:pos="454"/>
          <w:tab w:val="right" w:pos="737"/>
          <w:tab w:val="left" w:pos="851"/>
        </w:tabs>
        <w:ind w:left="851" w:hanging="851"/>
        <w:rPr>
          <w:lang w:val="en-AU"/>
        </w:rPr>
      </w:pPr>
      <w:r>
        <w:rPr>
          <w:lang w:val="en-AU"/>
        </w:rPr>
        <w:tab/>
      </w:r>
      <w:r w:rsidR="00E1551A">
        <w:rPr>
          <w:lang w:val="en-AU"/>
        </w:rPr>
        <w:tab/>
      </w:r>
      <w:r w:rsidR="00DC2BDB">
        <w:rPr>
          <w:lang w:val="en-AU"/>
        </w:rPr>
        <w:t>(</w:t>
      </w:r>
      <w:proofErr w:type="spellStart"/>
      <w:r w:rsidR="00DC2BDB">
        <w:rPr>
          <w:lang w:val="en-AU"/>
        </w:rPr>
        <w:t>i</w:t>
      </w:r>
      <w:proofErr w:type="spellEnd"/>
      <w:r w:rsidR="00DC2BDB">
        <w:rPr>
          <w:lang w:val="en-AU"/>
        </w:rPr>
        <w:t>)</w:t>
      </w:r>
      <w:r w:rsidR="00DC2BDB">
        <w:rPr>
          <w:lang w:val="en-AU"/>
        </w:rPr>
        <w:tab/>
        <w:t>Scale A and B Surface Level Requirements</w:t>
      </w:r>
    </w:p>
    <w:p w14:paraId="2D44FA68" w14:textId="77777777" w:rsidR="00DC2BDB" w:rsidRDefault="00DC2BDB" w:rsidP="008A5EE6">
      <w:pPr>
        <w:tabs>
          <w:tab w:val="left" w:pos="454"/>
          <w:tab w:val="right" w:pos="737"/>
          <w:tab w:val="left" w:pos="851"/>
        </w:tabs>
        <w:spacing w:before="160"/>
        <w:ind w:left="851" w:hanging="851"/>
        <w:rPr>
          <w:lang w:val="en-AU"/>
        </w:rPr>
      </w:pPr>
      <w:r>
        <w:rPr>
          <w:lang w:val="en-AU"/>
        </w:rPr>
        <w:tab/>
      </w:r>
      <w:r>
        <w:rPr>
          <w:lang w:val="en-AU"/>
        </w:rPr>
        <w:tab/>
      </w:r>
      <w:r>
        <w:rPr>
          <w:lang w:val="en-AU"/>
        </w:rPr>
        <w:tab/>
        <w:t>Each level measurement shall be taken at random locations over the area of the lot in accordance with the VicRoads Test Method and the number of measurements taken within each lot shall not be less than the number specified in Table 306.031.</w:t>
      </w:r>
    </w:p>
    <w:p w14:paraId="4A47369B" w14:textId="77777777" w:rsidR="00DC2BDB" w:rsidRDefault="00DC2BDB" w:rsidP="008A5EE6">
      <w:pPr>
        <w:tabs>
          <w:tab w:val="left" w:pos="454"/>
          <w:tab w:val="right" w:pos="737"/>
          <w:tab w:val="left" w:pos="851"/>
        </w:tabs>
        <w:spacing w:before="160"/>
        <w:ind w:left="851" w:hanging="851"/>
        <w:rPr>
          <w:lang w:val="en-AU"/>
        </w:rPr>
      </w:pPr>
      <w:r>
        <w:rPr>
          <w:lang w:val="en-AU"/>
        </w:rPr>
        <w:tab/>
      </w:r>
      <w:r>
        <w:rPr>
          <w:lang w:val="en-AU"/>
        </w:rPr>
        <w:tab/>
      </w:r>
      <w:r>
        <w:rPr>
          <w:lang w:val="en-AU"/>
        </w:rPr>
        <w:tab/>
        <w:t>The mean surface level and the variation in surface level for the subgrade, and pavement courses within each lot shall meet the</w:t>
      </w:r>
      <w:r w:rsidR="00CE7E76">
        <w:rPr>
          <w:lang w:val="en-AU"/>
        </w:rPr>
        <w:t xml:space="preserve"> requirements of Table 306.032.</w:t>
      </w:r>
    </w:p>
    <w:p w14:paraId="2906B572" w14:textId="77777777" w:rsidR="00DC2BDB" w:rsidRPr="00421D3F" w:rsidRDefault="00DC2BDB" w:rsidP="00421D3F">
      <w:pPr>
        <w:spacing w:before="160" w:after="60"/>
        <w:ind w:left="851"/>
        <w:rPr>
          <w:b/>
        </w:rPr>
      </w:pPr>
      <w:r w:rsidRPr="00421D3F">
        <w:rPr>
          <w:b/>
        </w:rPr>
        <w:t xml:space="preserve">Table </w:t>
      </w:r>
      <w:proofErr w:type="gramStart"/>
      <w:r w:rsidRPr="00421D3F">
        <w:rPr>
          <w:b/>
        </w:rPr>
        <w:t>306.031  Minimum</w:t>
      </w:r>
      <w:proofErr w:type="gramEnd"/>
      <w:r w:rsidRPr="00421D3F">
        <w:rPr>
          <w:b/>
        </w:rPr>
        <w:t xml:space="preserve"> Number of Level Measurements per </w:t>
      </w:r>
      <w:smartTag w:uri="urn:schemas-microsoft-com:office:smarttags" w:element="PlaceName">
        <w:r w:rsidRPr="00421D3F">
          <w:rPr>
            <w:b/>
          </w:rPr>
          <w:t>Lot</w:t>
        </w:r>
      </w:smartTag>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2502"/>
        <w:gridCol w:w="2719"/>
      </w:tblGrid>
      <w:tr w:rsidR="00DC2BDB" w:rsidRPr="00E1551A" w14:paraId="0CEC2F45" w14:textId="77777777" w:rsidTr="00CE7E76">
        <w:trPr>
          <w:cantSplit/>
          <w:jc w:val="center"/>
        </w:trPr>
        <w:tc>
          <w:tcPr>
            <w:tcW w:w="2502" w:type="dxa"/>
            <w:tcBorders>
              <w:top w:val="single" w:sz="12" w:space="0" w:color="auto"/>
              <w:left w:val="single" w:sz="12" w:space="0" w:color="auto"/>
              <w:bottom w:val="single" w:sz="12" w:space="0" w:color="auto"/>
            </w:tcBorders>
            <w:vAlign w:val="center"/>
          </w:tcPr>
          <w:p w14:paraId="016BA7CA" w14:textId="77777777" w:rsidR="00DC2BDB" w:rsidRPr="00E1551A" w:rsidRDefault="00DC2BDB" w:rsidP="00E1551A">
            <w:pPr>
              <w:jc w:val="center"/>
              <w:rPr>
                <w:b/>
              </w:rPr>
            </w:pPr>
            <w:r w:rsidRPr="00E1551A">
              <w:rPr>
                <w:b/>
              </w:rPr>
              <w:t>Scale of Surface Level Measurement</w:t>
            </w:r>
          </w:p>
        </w:tc>
        <w:tc>
          <w:tcPr>
            <w:tcW w:w="2719" w:type="dxa"/>
            <w:tcBorders>
              <w:top w:val="single" w:sz="12" w:space="0" w:color="auto"/>
              <w:left w:val="single" w:sz="7" w:space="0" w:color="000000"/>
              <w:bottom w:val="single" w:sz="12" w:space="0" w:color="auto"/>
              <w:right w:val="single" w:sz="12" w:space="0" w:color="auto"/>
            </w:tcBorders>
            <w:vAlign w:val="center"/>
          </w:tcPr>
          <w:p w14:paraId="1A10ADE7" w14:textId="77777777" w:rsidR="00DC2BDB" w:rsidRPr="00E1551A" w:rsidRDefault="00DC2BDB" w:rsidP="00E1551A">
            <w:pPr>
              <w:jc w:val="center"/>
              <w:rPr>
                <w:b/>
              </w:rPr>
            </w:pPr>
            <w:r w:rsidRPr="00E1551A">
              <w:rPr>
                <w:b/>
              </w:rPr>
              <w:t xml:space="preserve">Minimum Number of Measurements Per </w:t>
            </w:r>
            <w:smartTag w:uri="urn:schemas-microsoft-com:office:smarttags" w:element="PlaceName">
              <w:r w:rsidRPr="00E1551A">
                <w:rPr>
                  <w:b/>
                </w:rPr>
                <w:t>Lot</w:t>
              </w:r>
            </w:smartTag>
          </w:p>
        </w:tc>
      </w:tr>
      <w:tr w:rsidR="00DC2BDB" w14:paraId="3AC0D2EF" w14:textId="77777777" w:rsidTr="00CE7E76">
        <w:trPr>
          <w:cantSplit/>
          <w:jc w:val="center"/>
        </w:trPr>
        <w:tc>
          <w:tcPr>
            <w:tcW w:w="2502" w:type="dxa"/>
            <w:tcBorders>
              <w:top w:val="single" w:sz="12" w:space="0" w:color="auto"/>
              <w:left w:val="single" w:sz="12" w:space="0" w:color="auto"/>
              <w:bottom w:val="single" w:sz="6" w:space="0" w:color="FFFFFF"/>
              <w:right w:val="single" w:sz="6" w:space="0" w:color="FFFFFF"/>
            </w:tcBorders>
          </w:tcPr>
          <w:p w14:paraId="5BDE1975" w14:textId="77777777" w:rsidR="00DC2BDB" w:rsidRDefault="00DC2BDB" w:rsidP="00E1551A">
            <w:pPr>
              <w:jc w:val="center"/>
            </w:pPr>
            <w:r>
              <w:t>Scale A</w:t>
            </w:r>
          </w:p>
        </w:tc>
        <w:tc>
          <w:tcPr>
            <w:tcW w:w="2719" w:type="dxa"/>
            <w:tcBorders>
              <w:top w:val="single" w:sz="12" w:space="0" w:color="auto"/>
              <w:left w:val="single" w:sz="7" w:space="0" w:color="000000"/>
              <w:bottom w:val="single" w:sz="6" w:space="0" w:color="FFFFFF"/>
              <w:right w:val="single" w:sz="12" w:space="0" w:color="auto"/>
            </w:tcBorders>
          </w:tcPr>
          <w:p w14:paraId="72838637" w14:textId="77777777" w:rsidR="00DC2BDB" w:rsidRDefault="00DC2BDB" w:rsidP="00E1551A">
            <w:pPr>
              <w:jc w:val="center"/>
            </w:pPr>
            <w:r>
              <w:t>80</w:t>
            </w:r>
          </w:p>
        </w:tc>
      </w:tr>
      <w:tr w:rsidR="00DC2BDB" w14:paraId="184ACFF8" w14:textId="77777777" w:rsidTr="00CE7E76">
        <w:trPr>
          <w:cantSplit/>
          <w:jc w:val="center"/>
        </w:trPr>
        <w:tc>
          <w:tcPr>
            <w:tcW w:w="2502" w:type="dxa"/>
            <w:tcBorders>
              <w:top w:val="single" w:sz="6" w:space="0" w:color="FFFFFF"/>
              <w:left w:val="single" w:sz="12" w:space="0" w:color="auto"/>
              <w:bottom w:val="single" w:sz="12" w:space="0" w:color="auto"/>
              <w:right w:val="single" w:sz="6" w:space="0" w:color="FFFFFF"/>
            </w:tcBorders>
          </w:tcPr>
          <w:p w14:paraId="1268E47B" w14:textId="77777777" w:rsidR="00DC2BDB" w:rsidRDefault="00DC2BDB" w:rsidP="00E1551A">
            <w:pPr>
              <w:jc w:val="center"/>
            </w:pPr>
            <w:r>
              <w:t>Scale B</w:t>
            </w:r>
          </w:p>
        </w:tc>
        <w:tc>
          <w:tcPr>
            <w:tcW w:w="2719" w:type="dxa"/>
            <w:tcBorders>
              <w:top w:val="single" w:sz="6" w:space="0" w:color="FFFFFF"/>
              <w:left w:val="single" w:sz="7" w:space="0" w:color="000000"/>
              <w:bottom w:val="single" w:sz="12" w:space="0" w:color="auto"/>
              <w:right w:val="single" w:sz="12" w:space="0" w:color="auto"/>
            </w:tcBorders>
          </w:tcPr>
          <w:p w14:paraId="5D120B5D" w14:textId="77777777" w:rsidR="00DC2BDB" w:rsidRDefault="00DC2BDB" w:rsidP="00E1551A">
            <w:pPr>
              <w:jc w:val="center"/>
            </w:pPr>
            <w:r>
              <w:t>40</w:t>
            </w:r>
          </w:p>
        </w:tc>
      </w:tr>
    </w:tbl>
    <w:p w14:paraId="09192720" w14:textId="77777777" w:rsidR="00DC2BDB" w:rsidRPr="00421D3F" w:rsidRDefault="008A5EE6" w:rsidP="00553D99">
      <w:pPr>
        <w:tabs>
          <w:tab w:val="left" w:pos="2268"/>
        </w:tabs>
        <w:spacing w:before="320" w:after="100"/>
        <w:ind w:left="2268" w:hanging="1417"/>
        <w:rPr>
          <w:b/>
        </w:rPr>
      </w:pPr>
      <w:r w:rsidRPr="00421D3F">
        <w:rPr>
          <w:b/>
        </w:rPr>
        <w:t>Table 306.032</w:t>
      </w:r>
      <w:r w:rsidR="00EF162B" w:rsidRPr="00421D3F">
        <w:rPr>
          <w:b/>
        </w:rPr>
        <w:tab/>
      </w:r>
      <w:r w:rsidR="00DC2BDB" w:rsidRPr="00421D3F">
        <w:rPr>
          <w:b/>
        </w:rPr>
        <w:t>Average Surface Level Tolerances for the Subgrade and Cement</w:t>
      </w:r>
      <w:r w:rsidR="00EF162B" w:rsidRPr="00421D3F">
        <w:rPr>
          <w:b/>
        </w:rPr>
        <w:t>itious</w:t>
      </w:r>
      <w:r w:rsidR="00DC2BDB" w:rsidRPr="00421D3F">
        <w:rPr>
          <w:b/>
        </w:rPr>
        <w:t xml:space="preserve"> Treated Subbase</w:t>
      </w:r>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1745"/>
        <w:gridCol w:w="1276"/>
        <w:gridCol w:w="1330"/>
        <w:gridCol w:w="1363"/>
        <w:gridCol w:w="1468"/>
      </w:tblGrid>
      <w:tr w:rsidR="00DC2BDB" w:rsidRPr="00D65382" w14:paraId="79D2CDF5" w14:textId="77777777" w:rsidTr="00CE7E76">
        <w:trPr>
          <w:cantSplit/>
          <w:jc w:val="center"/>
        </w:trPr>
        <w:tc>
          <w:tcPr>
            <w:tcW w:w="1745" w:type="dxa"/>
            <w:vMerge w:val="restart"/>
            <w:tcBorders>
              <w:top w:val="single" w:sz="12" w:space="0" w:color="auto"/>
              <w:left w:val="single" w:sz="12" w:space="0" w:color="auto"/>
              <w:right w:val="single" w:sz="8" w:space="0" w:color="auto"/>
            </w:tcBorders>
            <w:vAlign w:val="center"/>
          </w:tcPr>
          <w:p w14:paraId="24FEBBC9" w14:textId="77777777" w:rsidR="00DC2BDB" w:rsidRPr="00D65382" w:rsidRDefault="00DC2BDB" w:rsidP="00D65382">
            <w:pPr>
              <w:jc w:val="center"/>
              <w:rPr>
                <w:b/>
                <w:lang w:val="en-AU"/>
              </w:rPr>
            </w:pPr>
            <w:r w:rsidRPr="00D65382">
              <w:rPr>
                <w:b/>
                <w:lang w:val="en-AU"/>
              </w:rPr>
              <w:t>Scale of Level Measurement</w:t>
            </w:r>
          </w:p>
        </w:tc>
        <w:tc>
          <w:tcPr>
            <w:tcW w:w="2606" w:type="dxa"/>
            <w:gridSpan w:val="2"/>
            <w:tcBorders>
              <w:top w:val="single" w:sz="12" w:space="0" w:color="auto"/>
              <w:left w:val="single" w:sz="8" w:space="0" w:color="auto"/>
              <w:bottom w:val="single" w:sz="8" w:space="0" w:color="auto"/>
              <w:right w:val="single" w:sz="8" w:space="0" w:color="auto"/>
            </w:tcBorders>
            <w:vAlign w:val="center"/>
          </w:tcPr>
          <w:p w14:paraId="5B76DA98" w14:textId="77777777" w:rsidR="00DC2BDB" w:rsidRPr="00D65382" w:rsidRDefault="00DC2BDB" w:rsidP="00D65382">
            <w:pPr>
              <w:jc w:val="center"/>
              <w:rPr>
                <w:b/>
                <w:lang w:val="en-AU"/>
              </w:rPr>
            </w:pPr>
            <w:r w:rsidRPr="00D65382">
              <w:rPr>
                <w:b/>
                <w:lang w:val="en-AU"/>
              </w:rPr>
              <w:t>Subgrade</w:t>
            </w:r>
          </w:p>
        </w:tc>
        <w:tc>
          <w:tcPr>
            <w:tcW w:w="2831" w:type="dxa"/>
            <w:gridSpan w:val="2"/>
            <w:tcBorders>
              <w:top w:val="single" w:sz="12" w:space="0" w:color="auto"/>
              <w:left w:val="single" w:sz="8" w:space="0" w:color="auto"/>
              <w:bottom w:val="single" w:sz="8" w:space="0" w:color="auto"/>
              <w:right w:val="single" w:sz="12" w:space="0" w:color="auto"/>
            </w:tcBorders>
            <w:vAlign w:val="center"/>
          </w:tcPr>
          <w:p w14:paraId="79ACEB7B" w14:textId="77777777" w:rsidR="00DC2BDB" w:rsidRPr="00D65382" w:rsidRDefault="00DC2BDB" w:rsidP="00D65382">
            <w:pPr>
              <w:jc w:val="center"/>
              <w:rPr>
                <w:b/>
                <w:lang w:val="en-AU"/>
              </w:rPr>
            </w:pPr>
            <w:r w:rsidRPr="00D65382">
              <w:rPr>
                <w:b/>
                <w:lang w:val="en-AU"/>
              </w:rPr>
              <w:t>Cement</w:t>
            </w:r>
            <w:r w:rsidR="005D257E">
              <w:rPr>
                <w:b/>
                <w:lang w:val="en-AU"/>
              </w:rPr>
              <w:t>itious</w:t>
            </w:r>
            <w:r w:rsidRPr="00D65382">
              <w:rPr>
                <w:b/>
                <w:lang w:val="en-AU"/>
              </w:rPr>
              <w:t xml:space="preserve"> Treated Subbase</w:t>
            </w:r>
          </w:p>
        </w:tc>
      </w:tr>
      <w:tr w:rsidR="00DC2BDB" w:rsidRPr="00D65382" w14:paraId="30E074BF" w14:textId="77777777" w:rsidTr="00CE7E76">
        <w:trPr>
          <w:cantSplit/>
          <w:jc w:val="center"/>
        </w:trPr>
        <w:tc>
          <w:tcPr>
            <w:tcW w:w="1745" w:type="dxa"/>
            <w:vMerge/>
            <w:tcBorders>
              <w:left w:val="single" w:sz="12" w:space="0" w:color="auto"/>
              <w:bottom w:val="single" w:sz="12" w:space="0" w:color="auto"/>
              <w:right w:val="single" w:sz="8" w:space="0" w:color="auto"/>
            </w:tcBorders>
            <w:vAlign w:val="center"/>
          </w:tcPr>
          <w:p w14:paraId="27342F02" w14:textId="77777777" w:rsidR="00DC2BDB" w:rsidRPr="00D65382" w:rsidRDefault="00DC2BDB" w:rsidP="00D65382">
            <w:pPr>
              <w:jc w:val="center"/>
              <w:rPr>
                <w:b/>
                <w:lang w:val="en-AU"/>
              </w:rPr>
            </w:pPr>
          </w:p>
        </w:tc>
        <w:tc>
          <w:tcPr>
            <w:tcW w:w="1276" w:type="dxa"/>
            <w:tcBorders>
              <w:top w:val="single" w:sz="8" w:space="0" w:color="auto"/>
              <w:left w:val="single" w:sz="8" w:space="0" w:color="auto"/>
              <w:bottom w:val="single" w:sz="12" w:space="0" w:color="auto"/>
              <w:right w:val="single" w:sz="8" w:space="0" w:color="auto"/>
            </w:tcBorders>
            <w:vAlign w:val="center"/>
          </w:tcPr>
          <w:p w14:paraId="17FC3513" w14:textId="77777777" w:rsidR="00DC2BDB" w:rsidRPr="00D65382" w:rsidRDefault="00DC2BDB" w:rsidP="00D65382">
            <w:pPr>
              <w:jc w:val="center"/>
              <w:rPr>
                <w:b/>
                <w:lang w:val="en-AU"/>
              </w:rPr>
            </w:pPr>
            <w:r w:rsidRPr="00D65382">
              <w:rPr>
                <w:b/>
                <w:lang w:val="en-AU"/>
              </w:rPr>
              <w:fldChar w:fldCharType="begin"/>
            </w:r>
            <w:r w:rsidRPr="00D65382">
              <w:rPr>
                <w:b/>
                <w:lang w:val="en-AU"/>
              </w:rPr>
              <w:instrText>EQ \O(x,¯)</w:instrText>
            </w:r>
            <w:r w:rsidRPr="00D65382">
              <w:rPr>
                <w:b/>
                <w:lang w:val="en-AU"/>
              </w:rPr>
              <w:fldChar w:fldCharType="end"/>
            </w:r>
            <w:r w:rsidRPr="00D65382">
              <w:rPr>
                <w:b/>
                <w:lang w:val="en-AU"/>
              </w:rPr>
              <w:t xml:space="preserve"> Range</w:t>
            </w:r>
          </w:p>
          <w:p w14:paraId="418CC91B" w14:textId="77777777" w:rsidR="00DC2BDB" w:rsidRPr="00D65382" w:rsidRDefault="00DC2BDB" w:rsidP="00D65382">
            <w:pPr>
              <w:jc w:val="center"/>
              <w:rPr>
                <w:b/>
                <w:lang w:val="en-AU"/>
              </w:rPr>
            </w:pPr>
            <w:r w:rsidRPr="00D65382">
              <w:rPr>
                <w:b/>
                <w:lang w:val="en-AU"/>
              </w:rPr>
              <w:t>(mm)</w:t>
            </w:r>
          </w:p>
        </w:tc>
        <w:tc>
          <w:tcPr>
            <w:tcW w:w="1330" w:type="dxa"/>
            <w:tcBorders>
              <w:top w:val="single" w:sz="8" w:space="0" w:color="auto"/>
              <w:left w:val="single" w:sz="8" w:space="0" w:color="auto"/>
              <w:bottom w:val="single" w:sz="12" w:space="0" w:color="auto"/>
              <w:right w:val="single" w:sz="8" w:space="0" w:color="auto"/>
            </w:tcBorders>
            <w:vAlign w:val="center"/>
          </w:tcPr>
          <w:p w14:paraId="510BFB48" w14:textId="77777777" w:rsidR="00DC2BDB" w:rsidRPr="00D65382" w:rsidRDefault="00DC2BDB" w:rsidP="00D65382">
            <w:pPr>
              <w:jc w:val="center"/>
              <w:rPr>
                <w:b/>
                <w:lang w:val="en-AU"/>
              </w:rPr>
            </w:pPr>
            <w:r w:rsidRPr="00D65382">
              <w:rPr>
                <w:b/>
                <w:lang w:val="en-AU"/>
              </w:rPr>
              <w:t>Max. S</w:t>
            </w:r>
          </w:p>
          <w:p w14:paraId="53B3D744" w14:textId="77777777" w:rsidR="00DC2BDB" w:rsidRPr="00D65382" w:rsidRDefault="00DC2BDB" w:rsidP="00D65382">
            <w:pPr>
              <w:jc w:val="center"/>
              <w:rPr>
                <w:b/>
                <w:lang w:val="en-AU"/>
              </w:rPr>
            </w:pPr>
            <w:r w:rsidRPr="00D65382">
              <w:rPr>
                <w:b/>
                <w:lang w:val="en-AU"/>
              </w:rPr>
              <w:t>(mm)</w:t>
            </w:r>
          </w:p>
        </w:tc>
        <w:tc>
          <w:tcPr>
            <w:tcW w:w="1363" w:type="dxa"/>
            <w:tcBorders>
              <w:top w:val="single" w:sz="7" w:space="0" w:color="000000"/>
              <w:left w:val="single" w:sz="8" w:space="0" w:color="auto"/>
              <w:bottom w:val="single" w:sz="12" w:space="0" w:color="auto"/>
              <w:right w:val="single" w:sz="8" w:space="0" w:color="auto"/>
            </w:tcBorders>
            <w:vAlign w:val="center"/>
          </w:tcPr>
          <w:p w14:paraId="35562AF0" w14:textId="77777777" w:rsidR="00DC2BDB" w:rsidRPr="00D65382" w:rsidRDefault="00DC2BDB" w:rsidP="00D65382">
            <w:pPr>
              <w:jc w:val="center"/>
              <w:rPr>
                <w:b/>
                <w:lang w:val="en-AU"/>
              </w:rPr>
            </w:pPr>
            <w:r w:rsidRPr="00D65382">
              <w:rPr>
                <w:b/>
                <w:lang w:val="en-AU"/>
              </w:rPr>
              <w:fldChar w:fldCharType="begin"/>
            </w:r>
            <w:r w:rsidRPr="00D65382">
              <w:rPr>
                <w:b/>
                <w:lang w:val="en-AU"/>
              </w:rPr>
              <w:instrText>EQ \O(x,¯)</w:instrText>
            </w:r>
            <w:r w:rsidRPr="00D65382">
              <w:rPr>
                <w:b/>
                <w:lang w:val="en-AU"/>
              </w:rPr>
              <w:fldChar w:fldCharType="end"/>
            </w:r>
            <w:r w:rsidRPr="00D65382">
              <w:rPr>
                <w:b/>
                <w:lang w:val="en-AU"/>
              </w:rPr>
              <w:t xml:space="preserve"> Range</w:t>
            </w:r>
          </w:p>
          <w:p w14:paraId="45BA0DDB" w14:textId="77777777" w:rsidR="00DC2BDB" w:rsidRPr="00D65382" w:rsidRDefault="00DC2BDB" w:rsidP="00D65382">
            <w:pPr>
              <w:jc w:val="center"/>
              <w:rPr>
                <w:b/>
                <w:lang w:val="en-AU"/>
              </w:rPr>
            </w:pPr>
            <w:r w:rsidRPr="00D65382">
              <w:rPr>
                <w:b/>
                <w:lang w:val="en-AU"/>
              </w:rPr>
              <w:t>(mm)</w:t>
            </w:r>
          </w:p>
        </w:tc>
        <w:tc>
          <w:tcPr>
            <w:tcW w:w="1468" w:type="dxa"/>
            <w:tcBorders>
              <w:top w:val="single" w:sz="7" w:space="0" w:color="000000"/>
              <w:left w:val="single" w:sz="8" w:space="0" w:color="auto"/>
              <w:bottom w:val="single" w:sz="12" w:space="0" w:color="auto"/>
              <w:right w:val="single" w:sz="12" w:space="0" w:color="auto"/>
            </w:tcBorders>
            <w:vAlign w:val="center"/>
          </w:tcPr>
          <w:p w14:paraId="0DB26E24" w14:textId="77777777" w:rsidR="00DC2BDB" w:rsidRPr="00D65382" w:rsidRDefault="00DC2BDB" w:rsidP="00D65382">
            <w:pPr>
              <w:jc w:val="center"/>
              <w:rPr>
                <w:b/>
                <w:lang w:val="en-AU"/>
              </w:rPr>
            </w:pPr>
            <w:r w:rsidRPr="00D65382">
              <w:rPr>
                <w:b/>
                <w:lang w:val="en-AU"/>
              </w:rPr>
              <w:t>Max. S</w:t>
            </w:r>
          </w:p>
          <w:p w14:paraId="11381DEB" w14:textId="77777777" w:rsidR="00DC2BDB" w:rsidRPr="00D65382" w:rsidRDefault="00DC2BDB" w:rsidP="00D65382">
            <w:pPr>
              <w:jc w:val="center"/>
              <w:rPr>
                <w:b/>
                <w:lang w:val="en-AU"/>
              </w:rPr>
            </w:pPr>
            <w:r w:rsidRPr="00D65382">
              <w:rPr>
                <w:b/>
                <w:lang w:val="en-AU"/>
              </w:rPr>
              <w:t>(mm)</w:t>
            </w:r>
          </w:p>
        </w:tc>
      </w:tr>
      <w:tr w:rsidR="00DC2BDB" w14:paraId="30978A2A" w14:textId="77777777" w:rsidTr="00CE7E76">
        <w:trPr>
          <w:cantSplit/>
          <w:jc w:val="center"/>
        </w:trPr>
        <w:tc>
          <w:tcPr>
            <w:tcW w:w="1745" w:type="dxa"/>
            <w:tcBorders>
              <w:top w:val="single" w:sz="12" w:space="0" w:color="auto"/>
              <w:left w:val="single" w:sz="12" w:space="0" w:color="auto"/>
              <w:bottom w:val="single" w:sz="8" w:space="0" w:color="auto"/>
              <w:right w:val="single" w:sz="8" w:space="0" w:color="auto"/>
            </w:tcBorders>
            <w:vAlign w:val="center"/>
          </w:tcPr>
          <w:p w14:paraId="2DEB9BF4" w14:textId="77777777" w:rsidR="00DC2BDB" w:rsidRDefault="00DC2BDB" w:rsidP="00D65382">
            <w:pPr>
              <w:jc w:val="center"/>
              <w:rPr>
                <w:lang w:val="en-AU"/>
              </w:rPr>
            </w:pPr>
            <w:r>
              <w:rPr>
                <w:lang w:val="en-AU"/>
              </w:rPr>
              <w:t>Scale A</w:t>
            </w:r>
          </w:p>
        </w:tc>
        <w:tc>
          <w:tcPr>
            <w:tcW w:w="1276" w:type="dxa"/>
            <w:tcBorders>
              <w:top w:val="single" w:sz="12" w:space="0" w:color="auto"/>
              <w:left w:val="single" w:sz="8" w:space="0" w:color="auto"/>
              <w:bottom w:val="single" w:sz="8" w:space="0" w:color="auto"/>
              <w:right w:val="single" w:sz="8" w:space="0" w:color="auto"/>
            </w:tcBorders>
            <w:vAlign w:val="center"/>
          </w:tcPr>
          <w:p w14:paraId="42CAADF1" w14:textId="77777777" w:rsidR="00DC2BDB" w:rsidRDefault="00DC2BDB" w:rsidP="00D65382">
            <w:pPr>
              <w:jc w:val="center"/>
              <w:rPr>
                <w:lang w:val="en-AU"/>
              </w:rPr>
            </w:pPr>
            <w:r>
              <w:rPr>
                <w:lang w:val="en-AU"/>
              </w:rPr>
              <w:t>+5 to –15</w:t>
            </w:r>
          </w:p>
        </w:tc>
        <w:tc>
          <w:tcPr>
            <w:tcW w:w="1330" w:type="dxa"/>
            <w:tcBorders>
              <w:top w:val="single" w:sz="12" w:space="0" w:color="auto"/>
              <w:left w:val="single" w:sz="8" w:space="0" w:color="auto"/>
              <w:bottom w:val="single" w:sz="8" w:space="0" w:color="auto"/>
              <w:right w:val="single" w:sz="8" w:space="0" w:color="auto"/>
            </w:tcBorders>
            <w:vAlign w:val="center"/>
          </w:tcPr>
          <w:p w14:paraId="747FC945" w14:textId="77777777" w:rsidR="00DC2BDB" w:rsidRDefault="00DC2BDB" w:rsidP="00D65382">
            <w:pPr>
              <w:jc w:val="center"/>
              <w:rPr>
                <w:lang w:val="en-AU"/>
              </w:rPr>
            </w:pPr>
            <w:r>
              <w:rPr>
                <w:lang w:val="en-AU"/>
              </w:rPr>
              <w:t>12</w:t>
            </w:r>
          </w:p>
        </w:tc>
        <w:tc>
          <w:tcPr>
            <w:tcW w:w="1363" w:type="dxa"/>
            <w:tcBorders>
              <w:top w:val="single" w:sz="12" w:space="0" w:color="auto"/>
              <w:left w:val="single" w:sz="8" w:space="0" w:color="auto"/>
              <w:bottom w:val="single" w:sz="8" w:space="0" w:color="auto"/>
              <w:right w:val="single" w:sz="8" w:space="0" w:color="auto"/>
            </w:tcBorders>
            <w:vAlign w:val="center"/>
          </w:tcPr>
          <w:p w14:paraId="65594A49" w14:textId="77777777" w:rsidR="00DC2BDB" w:rsidRDefault="00DC2BDB" w:rsidP="00D65382">
            <w:pPr>
              <w:jc w:val="center"/>
              <w:rPr>
                <w:lang w:val="en-AU"/>
              </w:rPr>
            </w:pPr>
            <w:r>
              <w:rPr>
                <w:lang w:val="en-AU"/>
              </w:rPr>
              <w:t>+4 to -8</w:t>
            </w:r>
          </w:p>
        </w:tc>
        <w:tc>
          <w:tcPr>
            <w:tcW w:w="1468" w:type="dxa"/>
            <w:tcBorders>
              <w:top w:val="single" w:sz="12" w:space="0" w:color="auto"/>
              <w:left w:val="single" w:sz="8" w:space="0" w:color="auto"/>
              <w:bottom w:val="single" w:sz="8" w:space="0" w:color="auto"/>
              <w:right w:val="single" w:sz="12" w:space="0" w:color="auto"/>
            </w:tcBorders>
            <w:vAlign w:val="center"/>
          </w:tcPr>
          <w:p w14:paraId="2D83B3DA" w14:textId="77777777" w:rsidR="00DC2BDB" w:rsidRDefault="00DC2BDB" w:rsidP="00D65382">
            <w:pPr>
              <w:jc w:val="center"/>
              <w:rPr>
                <w:lang w:val="en-AU"/>
              </w:rPr>
            </w:pPr>
            <w:r>
              <w:rPr>
                <w:lang w:val="en-AU"/>
              </w:rPr>
              <w:t>8</w:t>
            </w:r>
          </w:p>
        </w:tc>
      </w:tr>
      <w:tr w:rsidR="00DC2BDB" w14:paraId="740D4156" w14:textId="77777777" w:rsidTr="00CE7E76">
        <w:trPr>
          <w:cantSplit/>
          <w:jc w:val="center"/>
        </w:trPr>
        <w:tc>
          <w:tcPr>
            <w:tcW w:w="1745" w:type="dxa"/>
            <w:tcBorders>
              <w:top w:val="single" w:sz="8" w:space="0" w:color="auto"/>
              <w:left w:val="single" w:sz="12" w:space="0" w:color="auto"/>
              <w:bottom w:val="single" w:sz="8" w:space="0" w:color="auto"/>
              <w:right w:val="single" w:sz="8" w:space="0" w:color="auto"/>
            </w:tcBorders>
            <w:vAlign w:val="center"/>
          </w:tcPr>
          <w:p w14:paraId="409C2A2D" w14:textId="77777777" w:rsidR="00DC2BDB" w:rsidRDefault="00DC2BDB" w:rsidP="00D65382">
            <w:pPr>
              <w:jc w:val="center"/>
              <w:rPr>
                <w:lang w:val="en-AU"/>
              </w:rPr>
            </w:pPr>
            <w:r>
              <w:rPr>
                <w:lang w:val="en-AU"/>
              </w:rPr>
              <w:t>Scale B</w:t>
            </w:r>
          </w:p>
        </w:tc>
        <w:tc>
          <w:tcPr>
            <w:tcW w:w="1276" w:type="dxa"/>
            <w:tcBorders>
              <w:top w:val="single" w:sz="8" w:space="0" w:color="auto"/>
              <w:left w:val="single" w:sz="8" w:space="0" w:color="auto"/>
              <w:bottom w:val="single" w:sz="8" w:space="0" w:color="auto"/>
              <w:right w:val="single" w:sz="8" w:space="0" w:color="auto"/>
            </w:tcBorders>
            <w:vAlign w:val="center"/>
          </w:tcPr>
          <w:p w14:paraId="420ACDAD" w14:textId="77777777" w:rsidR="00DC2BDB" w:rsidRDefault="00DC2BDB" w:rsidP="00D65382">
            <w:pPr>
              <w:jc w:val="center"/>
              <w:rPr>
                <w:lang w:val="en-AU"/>
              </w:rPr>
            </w:pPr>
            <w:r>
              <w:rPr>
                <w:lang w:val="en-AU"/>
              </w:rPr>
              <w:t>+5 to –25</w:t>
            </w:r>
          </w:p>
        </w:tc>
        <w:tc>
          <w:tcPr>
            <w:tcW w:w="1330" w:type="dxa"/>
            <w:tcBorders>
              <w:top w:val="single" w:sz="8" w:space="0" w:color="auto"/>
              <w:left w:val="single" w:sz="8" w:space="0" w:color="auto"/>
              <w:bottom w:val="single" w:sz="8" w:space="0" w:color="auto"/>
              <w:right w:val="single" w:sz="8" w:space="0" w:color="auto"/>
            </w:tcBorders>
            <w:vAlign w:val="center"/>
          </w:tcPr>
          <w:p w14:paraId="33812AB5" w14:textId="77777777" w:rsidR="00DC2BDB" w:rsidRDefault="00DC2BDB" w:rsidP="00D65382">
            <w:pPr>
              <w:jc w:val="center"/>
              <w:rPr>
                <w:lang w:val="en-AU"/>
              </w:rPr>
            </w:pPr>
            <w:r>
              <w:rPr>
                <w:lang w:val="en-AU"/>
              </w:rPr>
              <w:t>15</w:t>
            </w:r>
          </w:p>
        </w:tc>
        <w:tc>
          <w:tcPr>
            <w:tcW w:w="1363" w:type="dxa"/>
            <w:tcBorders>
              <w:top w:val="single" w:sz="8" w:space="0" w:color="auto"/>
              <w:left w:val="single" w:sz="8" w:space="0" w:color="auto"/>
              <w:bottom w:val="single" w:sz="8" w:space="0" w:color="auto"/>
              <w:right w:val="single" w:sz="8" w:space="0" w:color="auto"/>
            </w:tcBorders>
            <w:vAlign w:val="center"/>
          </w:tcPr>
          <w:p w14:paraId="7D5038D1" w14:textId="77777777" w:rsidR="00DC2BDB" w:rsidRDefault="00DC2BDB" w:rsidP="00D65382">
            <w:pPr>
              <w:jc w:val="center"/>
              <w:rPr>
                <w:lang w:val="en-AU"/>
              </w:rPr>
            </w:pPr>
            <w:r>
              <w:rPr>
                <w:lang w:val="en-AU"/>
              </w:rPr>
              <w:t>+6 to -12</w:t>
            </w:r>
          </w:p>
        </w:tc>
        <w:tc>
          <w:tcPr>
            <w:tcW w:w="1468" w:type="dxa"/>
            <w:tcBorders>
              <w:top w:val="single" w:sz="8" w:space="0" w:color="auto"/>
              <w:left w:val="single" w:sz="8" w:space="0" w:color="auto"/>
              <w:bottom w:val="single" w:sz="8" w:space="0" w:color="auto"/>
              <w:right w:val="single" w:sz="12" w:space="0" w:color="auto"/>
            </w:tcBorders>
            <w:vAlign w:val="center"/>
          </w:tcPr>
          <w:p w14:paraId="09A0ACAE" w14:textId="77777777" w:rsidR="00DC2BDB" w:rsidRDefault="00DC2BDB" w:rsidP="00D65382">
            <w:pPr>
              <w:jc w:val="center"/>
              <w:rPr>
                <w:lang w:val="en-AU"/>
              </w:rPr>
            </w:pPr>
            <w:r>
              <w:rPr>
                <w:lang w:val="en-AU"/>
              </w:rPr>
              <w:t>13</w:t>
            </w:r>
          </w:p>
        </w:tc>
      </w:tr>
      <w:tr w:rsidR="00DC2BDB" w14:paraId="770B3DB3" w14:textId="77777777" w:rsidTr="00CE7E76">
        <w:trPr>
          <w:cantSplit/>
          <w:jc w:val="center"/>
        </w:trPr>
        <w:tc>
          <w:tcPr>
            <w:tcW w:w="7182" w:type="dxa"/>
            <w:gridSpan w:val="5"/>
            <w:tcBorders>
              <w:top w:val="single" w:sz="8" w:space="0" w:color="auto"/>
              <w:left w:val="single" w:sz="12" w:space="0" w:color="auto"/>
              <w:bottom w:val="single" w:sz="12" w:space="0" w:color="auto"/>
              <w:right w:val="single" w:sz="12" w:space="0" w:color="auto"/>
            </w:tcBorders>
          </w:tcPr>
          <w:p w14:paraId="3B906DF0" w14:textId="77777777" w:rsidR="00DC2BDB" w:rsidRDefault="00DC2BDB" w:rsidP="00D65382">
            <w:pPr>
              <w:rPr>
                <w:b/>
                <w:lang w:val="en-AU"/>
              </w:rPr>
            </w:pPr>
            <w:r>
              <w:rPr>
                <w:b/>
                <w:lang w:val="en-AU"/>
              </w:rPr>
              <w:t>Notes:</w:t>
            </w:r>
          </w:p>
          <w:p w14:paraId="2ED66708" w14:textId="77777777" w:rsidR="00DC2BDB" w:rsidRDefault="00DC2BDB" w:rsidP="00CE7E76">
            <w:pPr>
              <w:tabs>
                <w:tab w:val="left" w:pos="312"/>
              </w:tabs>
              <w:spacing w:before="60"/>
              <w:ind w:left="312" w:hanging="312"/>
              <w:rPr>
                <w:lang w:val="en-AU"/>
              </w:rPr>
            </w:pPr>
            <w:r>
              <w:rPr>
                <w:lang w:val="en-AU"/>
              </w:rPr>
              <w:t>1.</w:t>
            </w:r>
            <w:r>
              <w:rPr>
                <w:lang w:val="en-AU"/>
              </w:rPr>
              <w:tab/>
            </w:r>
            <w:r>
              <w:rPr>
                <w:lang w:val="en-AU"/>
              </w:rPr>
              <w:fldChar w:fldCharType="begin"/>
            </w:r>
            <w:r>
              <w:rPr>
                <w:lang w:val="en-AU"/>
              </w:rPr>
              <w:instrText>EQ \O(x,¯)</w:instrText>
            </w:r>
            <w:r>
              <w:rPr>
                <w:lang w:val="en-AU"/>
              </w:rPr>
              <w:fldChar w:fldCharType="end"/>
            </w:r>
            <w:r>
              <w:rPr>
                <w:lang w:val="en-AU"/>
              </w:rPr>
              <w:t xml:space="preserve"> is the mean value of all level readings taken in the lot</w:t>
            </w:r>
          </w:p>
          <w:p w14:paraId="723B6563" w14:textId="77777777" w:rsidR="00DC2BDB" w:rsidRDefault="00DC2BDB" w:rsidP="00CE7E76">
            <w:pPr>
              <w:tabs>
                <w:tab w:val="left" w:pos="312"/>
              </w:tabs>
              <w:spacing w:before="60"/>
              <w:ind w:left="312" w:hanging="312"/>
              <w:rPr>
                <w:lang w:val="en-AU"/>
              </w:rPr>
            </w:pPr>
            <w:r>
              <w:rPr>
                <w:lang w:val="en-AU"/>
              </w:rPr>
              <w:t>2.</w:t>
            </w:r>
            <w:r>
              <w:rPr>
                <w:lang w:val="en-AU"/>
              </w:rPr>
              <w:tab/>
              <w:t>S is the standard deviation of all level readings taken in the lot</w:t>
            </w:r>
          </w:p>
          <w:p w14:paraId="6BAD6BBE" w14:textId="77777777" w:rsidR="00DC2BDB" w:rsidRDefault="00DC2BDB" w:rsidP="00CE7E76">
            <w:pPr>
              <w:tabs>
                <w:tab w:val="left" w:pos="312"/>
              </w:tabs>
              <w:spacing w:before="60"/>
              <w:ind w:left="312" w:hanging="312"/>
              <w:rPr>
                <w:lang w:val="en-AU"/>
              </w:rPr>
            </w:pPr>
            <w:r>
              <w:rPr>
                <w:lang w:val="en-AU"/>
              </w:rPr>
              <w:t>3.</w:t>
            </w:r>
            <w:r>
              <w:rPr>
                <w:lang w:val="en-AU"/>
              </w:rPr>
              <w:tab/>
              <w:t>A negative value designates a measured departure below the design level and positive value designates a surface level above the design level.</w:t>
            </w:r>
          </w:p>
        </w:tc>
      </w:tr>
    </w:tbl>
    <w:p w14:paraId="054AE89A" w14:textId="77777777" w:rsidR="00DC2BDB" w:rsidRDefault="00DC2BDB" w:rsidP="00CE7E76">
      <w:pPr>
        <w:tabs>
          <w:tab w:val="left" w:pos="454"/>
          <w:tab w:val="right" w:pos="737"/>
          <w:tab w:val="left" w:pos="851"/>
        </w:tabs>
        <w:spacing w:before="320"/>
        <w:ind w:left="851" w:hanging="851"/>
        <w:rPr>
          <w:lang w:val="en-AU"/>
        </w:rPr>
      </w:pPr>
      <w:r>
        <w:rPr>
          <w:lang w:val="en-AU"/>
        </w:rPr>
        <w:tab/>
      </w:r>
      <w:r>
        <w:rPr>
          <w:lang w:val="en-AU"/>
        </w:rPr>
        <w:tab/>
      </w:r>
      <w:r>
        <w:rPr>
          <w:lang w:val="en-AU"/>
        </w:rPr>
        <w:tab/>
        <w:t>For Scale A and Scale B level requirements, the Superintendent may accept a lot which does not conform with the limits of Table 306.032 at a reduced payment, in which case payment for the work will be reduced as shown in Table 306.033.  The value of the lot of work shall be calculated from the unit rates for pavement construction as specified in Clause 306.1</w:t>
      </w:r>
      <w:r w:rsidR="0026277D">
        <w:rPr>
          <w:lang w:val="en-AU"/>
        </w:rPr>
        <w:t>2</w:t>
      </w:r>
      <w:r>
        <w:rPr>
          <w:lang w:val="en-AU"/>
        </w:rPr>
        <w:t>(b).</w:t>
      </w:r>
    </w:p>
    <w:p w14:paraId="25CA1711" w14:textId="77777777" w:rsidR="008A5EE6" w:rsidRDefault="008A5EE6" w:rsidP="00CE7E76">
      <w:pPr>
        <w:rPr>
          <w:lang w:val="en-AU"/>
        </w:rPr>
      </w:pPr>
    </w:p>
    <w:p w14:paraId="54E3A6B7" w14:textId="77777777" w:rsidR="008A5EE6" w:rsidRPr="00F0464A" w:rsidRDefault="008A5EE6" w:rsidP="00F0464A">
      <w:pPr>
        <w:spacing w:after="60"/>
        <w:ind w:left="851"/>
        <w:rPr>
          <w:b/>
        </w:rPr>
      </w:pPr>
      <w:r w:rsidRPr="00F0464A">
        <w:rPr>
          <w:b/>
        </w:rPr>
        <w:t xml:space="preserve">Table </w:t>
      </w:r>
      <w:proofErr w:type="gramStart"/>
      <w:r w:rsidRPr="00F0464A">
        <w:rPr>
          <w:b/>
        </w:rPr>
        <w:t>306.033  Payment</w:t>
      </w:r>
      <w:proofErr w:type="gramEnd"/>
      <w:r w:rsidRPr="00F0464A">
        <w:rPr>
          <w:b/>
        </w:rPr>
        <w:t xml:space="preserve"> Deduction for Surface Level</w:t>
      </w:r>
    </w:p>
    <w:tbl>
      <w:tblPr>
        <w:tblW w:w="0" w:type="auto"/>
        <w:tblInd w:w="964" w:type="dxa"/>
        <w:tblLayout w:type="fixed"/>
        <w:tblCellMar>
          <w:top w:w="102" w:type="dxa"/>
          <w:left w:w="85" w:type="dxa"/>
          <w:bottom w:w="57" w:type="dxa"/>
          <w:right w:w="85" w:type="dxa"/>
        </w:tblCellMar>
        <w:tblLook w:val="0000" w:firstRow="0" w:lastRow="0" w:firstColumn="0" w:lastColumn="0" w:noHBand="0" w:noVBand="0"/>
      </w:tblPr>
      <w:tblGrid>
        <w:gridCol w:w="4359"/>
        <w:gridCol w:w="3988"/>
      </w:tblGrid>
      <w:tr w:rsidR="008A5EE6" w:rsidRPr="007F79AF" w14:paraId="2E152982" w14:textId="77777777" w:rsidTr="003E5B5E">
        <w:trPr>
          <w:cantSplit/>
        </w:trPr>
        <w:tc>
          <w:tcPr>
            <w:tcW w:w="4359" w:type="dxa"/>
            <w:tcBorders>
              <w:top w:val="single" w:sz="12" w:space="0" w:color="auto"/>
              <w:left w:val="single" w:sz="12" w:space="0" w:color="auto"/>
              <w:bottom w:val="single" w:sz="12" w:space="0" w:color="auto"/>
              <w:right w:val="single" w:sz="6" w:space="0" w:color="FFFFFF"/>
            </w:tcBorders>
            <w:vAlign w:val="bottom"/>
          </w:tcPr>
          <w:p w14:paraId="3C7F9585" w14:textId="77777777" w:rsidR="008A5EE6" w:rsidRPr="007F79AF" w:rsidRDefault="008A5EE6" w:rsidP="003E5B5E">
            <w:pPr>
              <w:jc w:val="center"/>
              <w:rPr>
                <w:b/>
              </w:rPr>
            </w:pPr>
            <w:r w:rsidRPr="007F79AF">
              <w:rPr>
                <w:b/>
              </w:rPr>
              <w:t>Variation</w:t>
            </w:r>
          </w:p>
        </w:tc>
        <w:tc>
          <w:tcPr>
            <w:tcW w:w="3988" w:type="dxa"/>
            <w:tcBorders>
              <w:top w:val="single" w:sz="12" w:space="0" w:color="auto"/>
              <w:left w:val="single" w:sz="7" w:space="0" w:color="000000"/>
              <w:bottom w:val="single" w:sz="12" w:space="0" w:color="auto"/>
              <w:right w:val="single" w:sz="12" w:space="0" w:color="auto"/>
            </w:tcBorders>
            <w:vAlign w:val="bottom"/>
          </w:tcPr>
          <w:p w14:paraId="0597DD65" w14:textId="77777777" w:rsidR="008A5EE6" w:rsidRPr="007F79AF" w:rsidRDefault="008A5EE6" w:rsidP="003E5B5E">
            <w:pPr>
              <w:jc w:val="center"/>
              <w:rPr>
                <w:b/>
              </w:rPr>
            </w:pPr>
            <w:r w:rsidRPr="007F79AF">
              <w:rPr>
                <w:b/>
              </w:rPr>
              <w:t>Payment reduction</w:t>
            </w:r>
          </w:p>
        </w:tc>
      </w:tr>
      <w:tr w:rsidR="008A5EE6" w14:paraId="3884AB7F" w14:textId="77777777" w:rsidTr="003E5B5E">
        <w:trPr>
          <w:cantSplit/>
        </w:trPr>
        <w:tc>
          <w:tcPr>
            <w:tcW w:w="4359" w:type="dxa"/>
            <w:tcBorders>
              <w:top w:val="single" w:sz="12" w:space="0" w:color="auto"/>
              <w:left w:val="single" w:sz="12" w:space="0" w:color="auto"/>
              <w:bottom w:val="single" w:sz="6" w:space="0" w:color="FFFFFF"/>
              <w:right w:val="single" w:sz="6" w:space="0" w:color="FFFFFF"/>
            </w:tcBorders>
            <w:tcMar>
              <w:top w:w="125" w:type="dxa"/>
            </w:tcMar>
          </w:tcPr>
          <w:p w14:paraId="7CE63471" w14:textId="77777777" w:rsidR="008A5EE6" w:rsidRDefault="008A5EE6" w:rsidP="003E5B5E">
            <w:r>
              <w:rPr>
                <w:b/>
              </w:rPr>
              <w:t xml:space="preserve">Mean ( </w:t>
            </w:r>
            <w:r>
              <w:rPr>
                <w:b/>
              </w:rPr>
              <w:fldChar w:fldCharType="begin"/>
            </w:r>
            <w:r>
              <w:rPr>
                <w:b/>
              </w:rPr>
              <w:instrText>EQ \O(x,¯)</w:instrText>
            </w:r>
            <w:r>
              <w:rPr>
                <w:b/>
              </w:rPr>
              <w:fldChar w:fldCharType="end"/>
            </w:r>
            <w:r>
              <w:rPr>
                <w:b/>
              </w:rPr>
              <w:t xml:space="preserve"> )</w:t>
            </w:r>
            <w:r>
              <w:t xml:space="preserve">  exceeding the specified limit up to a maximum of 25%</w:t>
            </w:r>
          </w:p>
        </w:tc>
        <w:tc>
          <w:tcPr>
            <w:tcW w:w="3988" w:type="dxa"/>
            <w:tcBorders>
              <w:top w:val="single" w:sz="12" w:space="0" w:color="auto"/>
              <w:left w:val="single" w:sz="7" w:space="0" w:color="000000"/>
              <w:bottom w:val="single" w:sz="6" w:space="0" w:color="FFFFFF"/>
              <w:right w:val="single" w:sz="12" w:space="0" w:color="auto"/>
            </w:tcBorders>
            <w:tcMar>
              <w:top w:w="125" w:type="dxa"/>
            </w:tcMar>
          </w:tcPr>
          <w:p w14:paraId="2676D98D" w14:textId="77777777" w:rsidR="008A5EE6" w:rsidRDefault="008A5EE6" w:rsidP="003E5B5E">
            <w:r>
              <w:t xml:space="preserve">8% plus 4% reduction for each 1 mm of </w:t>
            </w:r>
            <w:r>
              <w:fldChar w:fldCharType="begin"/>
            </w:r>
            <w:r>
              <w:instrText>EQ \O(x,¯)</w:instrText>
            </w:r>
            <w:r>
              <w:fldChar w:fldCharType="end"/>
            </w:r>
            <w:r>
              <w:t xml:space="preserve"> outside the tabulated limit</w:t>
            </w:r>
          </w:p>
        </w:tc>
      </w:tr>
      <w:tr w:rsidR="008A5EE6" w14:paraId="2708E8F7" w14:textId="77777777" w:rsidTr="003E5B5E">
        <w:trPr>
          <w:cantSplit/>
        </w:trPr>
        <w:tc>
          <w:tcPr>
            <w:tcW w:w="4359" w:type="dxa"/>
            <w:tcBorders>
              <w:top w:val="single" w:sz="6" w:space="0" w:color="FFFFFF"/>
              <w:left w:val="single" w:sz="12" w:space="0" w:color="auto"/>
              <w:bottom w:val="single" w:sz="8" w:space="0" w:color="auto"/>
              <w:right w:val="single" w:sz="6" w:space="0" w:color="FFFFFF"/>
            </w:tcBorders>
            <w:tcMar>
              <w:bottom w:w="113" w:type="dxa"/>
            </w:tcMar>
          </w:tcPr>
          <w:p w14:paraId="54B40698" w14:textId="77777777" w:rsidR="008A5EE6" w:rsidRDefault="008A5EE6" w:rsidP="003E5B5E">
            <w:r>
              <w:rPr>
                <w:b/>
              </w:rPr>
              <w:t>Standard Deviation (</w:t>
            </w:r>
            <w:proofErr w:type="gramStart"/>
            <w:r>
              <w:rPr>
                <w:b/>
              </w:rPr>
              <w:t>S)</w:t>
            </w:r>
            <w:r>
              <w:t xml:space="preserve">  exceeding</w:t>
            </w:r>
            <w:proofErr w:type="gramEnd"/>
            <w:r>
              <w:t xml:space="preserve"> the specified limit up to a maximum of 35%</w:t>
            </w:r>
          </w:p>
        </w:tc>
        <w:tc>
          <w:tcPr>
            <w:tcW w:w="3988" w:type="dxa"/>
            <w:tcBorders>
              <w:top w:val="single" w:sz="6" w:space="0" w:color="FFFFFF"/>
              <w:left w:val="single" w:sz="7" w:space="0" w:color="000000"/>
              <w:bottom w:val="single" w:sz="8" w:space="0" w:color="auto"/>
              <w:right w:val="single" w:sz="12" w:space="0" w:color="auto"/>
            </w:tcBorders>
            <w:tcMar>
              <w:bottom w:w="113" w:type="dxa"/>
            </w:tcMar>
          </w:tcPr>
          <w:p w14:paraId="196DDECC" w14:textId="77777777" w:rsidR="008A5EE6" w:rsidRDefault="008A5EE6" w:rsidP="003E5B5E">
            <w:r>
              <w:t>8% plus 4% reduction for each 1 mm of S greater than the tabulated limit</w:t>
            </w:r>
          </w:p>
        </w:tc>
      </w:tr>
      <w:tr w:rsidR="008A5EE6" w14:paraId="310CC97A" w14:textId="77777777" w:rsidTr="003E5B5E">
        <w:trPr>
          <w:cantSplit/>
        </w:trPr>
        <w:tc>
          <w:tcPr>
            <w:tcW w:w="8347" w:type="dxa"/>
            <w:gridSpan w:val="2"/>
            <w:tcBorders>
              <w:top w:val="single" w:sz="8" w:space="0" w:color="auto"/>
              <w:left w:val="single" w:sz="12" w:space="0" w:color="auto"/>
              <w:bottom w:val="single" w:sz="12" w:space="0" w:color="auto"/>
              <w:right w:val="single" w:sz="12" w:space="0" w:color="auto"/>
            </w:tcBorders>
          </w:tcPr>
          <w:p w14:paraId="1BDE0FB1" w14:textId="77777777" w:rsidR="008A5EE6" w:rsidRDefault="008A5EE6" w:rsidP="003E5B5E">
            <w:pPr>
              <w:ind w:left="720" w:hanging="720"/>
            </w:pPr>
            <w:r>
              <w:rPr>
                <w:b/>
                <w:lang w:val="en-AU"/>
              </w:rPr>
              <w:t>Note:</w:t>
            </w:r>
            <w:r>
              <w:rPr>
                <w:b/>
                <w:lang w:val="en-AU"/>
              </w:rPr>
              <w:tab/>
            </w:r>
            <w:r>
              <w:rPr>
                <w:lang w:val="en-AU"/>
              </w:rPr>
              <w:t xml:space="preserve">If both </w:t>
            </w:r>
            <w:r>
              <w:fldChar w:fldCharType="begin"/>
            </w:r>
            <w:r>
              <w:instrText>EQ \O(x,¯)</w:instrText>
            </w:r>
            <w:r>
              <w:fldChar w:fldCharType="end"/>
            </w:r>
            <w:r>
              <w:t xml:space="preserve"> and S vary by more than the specified limit, the payment reduction shall be the sum of the payment reductions for both </w:t>
            </w:r>
            <w:r>
              <w:fldChar w:fldCharType="begin"/>
            </w:r>
            <w:r>
              <w:instrText>EQ \O(x,¯)</w:instrText>
            </w:r>
            <w:r>
              <w:fldChar w:fldCharType="end"/>
            </w:r>
            <w:r>
              <w:t xml:space="preserve"> and S.</w:t>
            </w:r>
          </w:p>
        </w:tc>
      </w:tr>
    </w:tbl>
    <w:p w14:paraId="529A0E6F" w14:textId="77777777" w:rsidR="008A5EE6" w:rsidRDefault="008A5EE6" w:rsidP="00CE7E76">
      <w:pPr>
        <w:rPr>
          <w:lang w:val="en-AU"/>
        </w:rPr>
      </w:pPr>
    </w:p>
    <w:p w14:paraId="7B288C3E" w14:textId="77777777" w:rsidR="00DC2BDB" w:rsidRDefault="00B612DE" w:rsidP="000F70B1">
      <w:pPr>
        <w:spacing w:line="80" w:lineRule="exact"/>
        <w:rPr>
          <w:lang w:val="en-AU"/>
        </w:rPr>
      </w:pPr>
      <w:r>
        <w:rPr>
          <w:noProof/>
          <w:snapToGrid/>
          <w:lang w:val="en-AU" w:eastAsia="en-AU"/>
        </w:rPr>
        <w:pict w14:anchorId="2F123502">
          <v:shape id="_x0000_s1045" type="#_x0000_t202" style="position:absolute;margin-left:0;margin-top:779.65pt;width:481.9pt;height:36.85pt;z-index:-251660800;mso-wrap-distance-top:5.65pt;mso-position-horizontal:center;mso-position-horizontal-relative:page;mso-position-vertical-relative:page" stroked="f">
            <v:textbox style="mso-next-textbox:#_x0000_s1045" inset="0,,0">
              <w:txbxContent>
                <w:p w14:paraId="52DFE480" w14:textId="77777777" w:rsidR="00411692" w:rsidRDefault="00411692" w:rsidP="00FB794C">
                  <w:pPr>
                    <w:pBdr>
                      <w:top w:val="single" w:sz="6" w:space="1" w:color="000000"/>
                    </w:pBdr>
                    <w:spacing w:line="60" w:lineRule="exact"/>
                    <w:jc w:val="right"/>
                    <w:rPr>
                      <w:b/>
                    </w:rPr>
                  </w:pPr>
                </w:p>
                <w:p w14:paraId="724DECD2" w14:textId="5F67B005" w:rsidR="00411692" w:rsidRDefault="00411692" w:rsidP="00FB794C">
                  <w:pPr>
                    <w:pBdr>
                      <w:top w:val="single" w:sz="6" w:space="1" w:color="000000"/>
                    </w:pBdr>
                    <w:jc w:val="right"/>
                  </w:pPr>
                  <w:r>
                    <w:rPr>
                      <w:b/>
                    </w:rPr>
                    <w:t>©</w:t>
                  </w:r>
                  <w:r>
                    <w:t xml:space="preserve"> </w:t>
                  </w:r>
                  <w:r w:rsidR="00B612DE">
                    <w:t xml:space="preserve">Department of </w:t>
                  </w:r>
                  <w:proofErr w:type="gramStart"/>
                  <w:r w:rsidR="00B612DE">
                    <w:t>Transport</w:t>
                  </w:r>
                  <w:r>
                    <w:t xml:space="preserve">  </w:t>
                  </w:r>
                  <w:r w:rsidR="009A3C43">
                    <w:t>October</w:t>
                  </w:r>
                  <w:proofErr w:type="gramEnd"/>
                  <w:r w:rsidR="009A3C43">
                    <w:t xml:space="preserve"> 2019</w:t>
                  </w:r>
                </w:p>
                <w:p w14:paraId="32832AD4" w14:textId="77777777" w:rsidR="00411692" w:rsidRDefault="00411692" w:rsidP="00FB794C">
                  <w:pPr>
                    <w:jc w:val="right"/>
                  </w:pPr>
                  <w:r>
                    <w:t>Section 306 (Page 2</w:t>
                  </w:r>
                  <w:r w:rsidR="00AD4F9C">
                    <w:t xml:space="preserve"> of 7)</w:t>
                  </w:r>
                </w:p>
                <w:p w14:paraId="6D0EC847" w14:textId="77777777" w:rsidR="00411692" w:rsidRDefault="00411692" w:rsidP="00FB794C"/>
              </w:txbxContent>
            </v:textbox>
            <w10:wrap anchorx="page" anchory="page"/>
            <w10:anchorlock/>
          </v:shape>
        </w:pict>
      </w:r>
      <w:r w:rsidR="00DC2BDB">
        <w:rPr>
          <w:lang w:val="en-AU"/>
        </w:rPr>
        <w:br w:type="page"/>
      </w:r>
    </w:p>
    <w:p w14:paraId="5D991125" w14:textId="77777777" w:rsidR="00DC2BDB" w:rsidRDefault="00FF6510" w:rsidP="005745BA">
      <w:pPr>
        <w:tabs>
          <w:tab w:val="left" w:pos="454"/>
          <w:tab w:val="right" w:pos="737"/>
          <w:tab w:val="left" w:pos="851"/>
        </w:tabs>
        <w:ind w:left="851" w:hanging="851"/>
        <w:rPr>
          <w:lang w:val="en-AU"/>
        </w:rPr>
      </w:pPr>
      <w:r>
        <w:rPr>
          <w:lang w:val="en-AU"/>
        </w:rPr>
        <w:tab/>
      </w:r>
      <w:r w:rsidR="007F79AF">
        <w:rPr>
          <w:lang w:val="en-AU"/>
        </w:rPr>
        <w:tab/>
      </w:r>
      <w:r w:rsidR="00DC2BDB">
        <w:rPr>
          <w:lang w:val="en-AU"/>
        </w:rPr>
        <w:t>(ii)</w:t>
      </w:r>
      <w:r w:rsidR="00DC2BDB">
        <w:rPr>
          <w:lang w:val="en-AU"/>
        </w:rPr>
        <w:tab/>
        <w:t>Scale C Surface Level and Thickness Requirements</w:t>
      </w:r>
    </w:p>
    <w:p w14:paraId="5433A490" w14:textId="77777777" w:rsidR="00DC2BDB" w:rsidRDefault="00DC2BDB" w:rsidP="005745BA">
      <w:pPr>
        <w:spacing w:before="180"/>
        <w:ind w:left="851"/>
        <w:rPr>
          <w:lang w:val="en-AU"/>
        </w:rPr>
      </w:pPr>
      <w:r>
        <w:rPr>
          <w:lang w:val="en-AU"/>
        </w:rPr>
        <w:t>Surface level measurement shall be undertaken in accordance with the procedure specified in Section 173 - Examination</w:t>
      </w:r>
      <w:r>
        <w:t xml:space="preserve"> and Testing of Materials and Work (Roadworks).</w:t>
      </w:r>
    </w:p>
    <w:p w14:paraId="5C3D0645" w14:textId="77777777" w:rsidR="00DC2BDB" w:rsidRDefault="00DC2BDB" w:rsidP="005745BA">
      <w:pPr>
        <w:spacing w:before="180"/>
        <w:ind w:left="851"/>
        <w:rPr>
          <w:lang w:val="en-AU"/>
        </w:rPr>
      </w:pPr>
      <w:r>
        <w:rPr>
          <w:lang w:val="en-AU"/>
        </w:rPr>
        <w:t>The surface level of the subgrade and subbase shall comply</w:t>
      </w:r>
      <w:r w:rsidR="000F70B1">
        <w:rPr>
          <w:lang w:val="en-AU"/>
        </w:rPr>
        <w:t xml:space="preserve"> with the requirements of Table </w:t>
      </w:r>
      <w:r>
        <w:rPr>
          <w:lang w:val="en-AU"/>
        </w:rPr>
        <w:t>306.034.</w:t>
      </w:r>
    </w:p>
    <w:p w14:paraId="2C267CBA" w14:textId="77777777" w:rsidR="00DC2BDB" w:rsidRPr="004C0F19" w:rsidRDefault="00DC2BDB" w:rsidP="004C0F19">
      <w:pPr>
        <w:spacing w:before="200" w:after="120"/>
        <w:ind w:left="851"/>
        <w:rPr>
          <w:b/>
        </w:rPr>
      </w:pPr>
      <w:r w:rsidRPr="004C0F19">
        <w:rPr>
          <w:b/>
        </w:rPr>
        <w:t xml:space="preserve">Table </w:t>
      </w:r>
      <w:proofErr w:type="gramStart"/>
      <w:r w:rsidRPr="004C0F19">
        <w:rPr>
          <w:b/>
        </w:rPr>
        <w:t>306.034  Level</w:t>
      </w:r>
      <w:proofErr w:type="gramEnd"/>
      <w:r w:rsidRPr="004C0F19">
        <w:rPr>
          <w:b/>
        </w:rPr>
        <w:t xml:space="preserve"> Tolerances at the Surface of Subgrade and Subbase</w:t>
      </w:r>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1840"/>
        <w:gridCol w:w="1896"/>
      </w:tblGrid>
      <w:tr w:rsidR="00DC2BDB" w:rsidRPr="007F79AF" w14:paraId="6340368C" w14:textId="77777777" w:rsidTr="006938C6">
        <w:trPr>
          <w:cantSplit/>
          <w:jc w:val="center"/>
        </w:trPr>
        <w:tc>
          <w:tcPr>
            <w:tcW w:w="1840" w:type="dxa"/>
            <w:tcBorders>
              <w:top w:val="single" w:sz="12" w:space="0" w:color="auto"/>
              <w:left w:val="single" w:sz="12" w:space="0" w:color="auto"/>
              <w:bottom w:val="single" w:sz="12" w:space="0" w:color="auto"/>
              <w:right w:val="single" w:sz="8" w:space="0" w:color="auto"/>
            </w:tcBorders>
            <w:vAlign w:val="center"/>
          </w:tcPr>
          <w:p w14:paraId="5B8BC87B" w14:textId="77777777" w:rsidR="00DC2BDB" w:rsidRPr="007F79AF" w:rsidRDefault="00DC2BDB" w:rsidP="007F79AF">
            <w:pPr>
              <w:jc w:val="center"/>
              <w:rPr>
                <w:b/>
                <w:lang w:val="en-AU"/>
              </w:rPr>
            </w:pPr>
            <w:r w:rsidRPr="007F79AF">
              <w:rPr>
                <w:b/>
                <w:lang w:val="en-AU"/>
              </w:rPr>
              <w:t>Subgrade</w:t>
            </w:r>
          </w:p>
          <w:p w14:paraId="1C96F984" w14:textId="77777777" w:rsidR="00DC2BDB" w:rsidRPr="007F79AF" w:rsidRDefault="00DC2BDB" w:rsidP="007F79AF">
            <w:pPr>
              <w:jc w:val="center"/>
              <w:rPr>
                <w:b/>
                <w:lang w:val="en-AU"/>
              </w:rPr>
            </w:pPr>
            <w:r w:rsidRPr="007F79AF">
              <w:rPr>
                <w:b/>
                <w:lang w:val="en-AU"/>
              </w:rPr>
              <w:t>(mm)</w:t>
            </w:r>
          </w:p>
        </w:tc>
        <w:tc>
          <w:tcPr>
            <w:tcW w:w="1896" w:type="dxa"/>
            <w:tcBorders>
              <w:top w:val="single" w:sz="12" w:space="0" w:color="auto"/>
              <w:left w:val="single" w:sz="8" w:space="0" w:color="auto"/>
              <w:bottom w:val="single" w:sz="12" w:space="0" w:color="auto"/>
              <w:right w:val="single" w:sz="12" w:space="0" w:color="auto"/>
            </w:tcBorders>
            <w:vAlign w:val="center"/>
          </w:tcPr>
          <w:p w14:paraId="66EF06D5" w14:textId="77777777" w:rsidR="00DC2BDB" w:rsidRPr="007F79AF" w:rsidRDefault="00DC2BDB" w:rsidP="007F79AF">
            <w:pPr>
              <w:jc w:val="center"/>
              <w:rPr>
                <w:b/>
                <w:lang w:val="en-AU"/>
              </w:rPr>
            </w:pPr>
            <w:r w:rsidRPr="007F79AF">
              <w:rPr>
                <w:b/>
                <w:lang w:val="en-AU"/>
              </w:rPr>
              <w:t>Subbase</w:t>
            </w:r>
          </w:p>
          <w:p w14:paraId="7AE5F6F6" w14:textId="77777777" w:rsidR="00DC2BDB" w:rsidRPr="007F79AF" w:rsidRDefault="00DC2BDB" w:rsidP="007F79AF">
            <w:pPr>
              <w:jc w:val="center"/>
              <w:rPr>
                <w:b/>
                <w:lang w:val="en-AU"/>
              </w:rPr>
            </w:pPr>
            <w:r w:rsidRPr="007F79AF">
              <w:rPr>
                <w:b/>
                <w:lang w:val="en-AU"/>
              </w:rPr>
              <w:t>(mm)</w:t>
            </w:r>
          </w:p>
        </w:tc>
      </w:tr>
      <w:tr w:rsidR="00DC2BDB" w14:paraId="095577DF" w14:textId="77777777" w:rsidTr="006938C6">
        <w:trPr>
          <w:cantSplit/>
          <w:jc w:val="center"/>
        </w:trPr>
        <w:tc>
          <w:tcPr>
            <w:tcW w:w="1840" w:type="dxa"/>
            <w:tcBorders>
              <w:top w:val="single" w:sz="12" w:space="0" w:color="auto"/>
              <w:left w:val="single" w:sz="12" w:space="0" w:color="auto"/>
              <w:bottom w:val="single" w:sz="12" w:space="0" w:color="auto"/>
              <w:right w:val="single" w:sz="8" w:space="0" w:color="auto"/>
            </w:tcBorders>
            <w:vAlign w:val="center"/>
          </w:tcPr>
          <w:p w14:paraId="31798A60" w14:textId="77777777" w:rsidR="00DC2BDB" w:rsidRDefault="00DC2BDB" w:rsidP="007F79AF">
            <w:pPr>
              <w:jc w:val="center"/>
              <w:rPr>
                <w:lang w:val="en-AU"/>
              </w:rPr>
            </w:pPr>
            <w:r>
              <w:rPr>
                <w:lang w:val="en-AU"/>
              </w:rPr>
              <w:t xml:space="preserve">+ 15 to </w:t>
            </w:r>
            <w:r w:rsidR="004C0FA7">
              <w:rPr>
                <w:lang w:val="en-AU"/>
              </w:rPr>
              <w:t>–</w:t>
            </w:r>
            <w:r>
              <w:rPr>
                <w:lang w:val="en-AU"/>
              </w:rPr>
              <w:t xml:space="preserve"> 25</w:t>
            </w:r>
          </w:p>
        </w:tc>
        <w:tc>
          <w:tcPr>
            <w:tcW w:w="1896" w:type="dxa"/>
            <w:tcBorders>
              <w:top w:val="single" w:sz="12" w:space="0" w:color="auto"/>
              <w:left w:val="single" w:sz="8" w:space="0" w:color="auto"/>
              <w:bottom w:val="single" w:sz="12" w:space="0" w:color="auto"/>
              <w:right w:val="single" w:sz="12" w:space="0" w:color="auto"/>
            </w:tcBorders>
            <w:vAlign w:val="center"/>
          </w:tcPr>
          <w:p w14:paraId="1EBE65D6" w14:textId="77777777" w:rsidR="00DC2BDB" w:rsidRDefault="00DC2BDB" w:rsidP="007F79AF">
            <w:pPr>
              <w:jc w:val="center"/>
              <w:rPr>
                <w:lang w:val="en-AU"/>
              </w:rPr>
            </w:pPr>
            <w:r>
              <w:rPr>
                <w:lang w:val="en-AU"/>
              </w:rPr>
              <w:t>+ 10 to - 25</w:t>
            </w:r>
          </w:p>
        </w:tc>
      </w:tr>
    </w:tbl>
    <w:p w14:paraId="2EE4512C" w14:textId="77777777" w:rsidR="006938C6" w:rsidRDefault="006938C6" w:rsidP="002B563A">
      <w:pPr>
        <w:spacing w:line="320" w:lineRule="exact"/>
        <w:rPr>
          <w:lang w:val="en-AU"/>
        </w:rPr>
      </w:pPr>
    </w:p>
    <w:p w14:paraId="080AD071" w14:textId="77777777" w:rsidR="00DC2BDB" w:rsidRDefault="00DC2BDB" w:rsidP="00EA3219">
      <w:pPr>
        <w:pStyle w:val="Heading5SS"/>
      </w:pPr>
      <w:r>
        <w:t>(c)</w:t>
      </w:r>
      <w:r>
        <w:tab/>
        <w:t>Shape</w:t>
      </w:r>
    </w:p>
    <w:p w14:paraId="21EB2F28" w14:textId="77777777" w:rsidR="00DC2BDB" w:rsidRDefault="00DC2BDB" w:rsidP="005745BA">
      <w:pPr>
        <w:spacing w:before="200"/>
        <w:ind w:left="454"/>
        <w:rPr>
          <w:lang w:val="en-AU"/>
        </w:rPr>
      </w:pPr>
      <w:r>
        <w:rPr>
          <w:lang w:val="en-AU"/>
        </w:rPr>
        <w:t>No point on the prepared surface of the subgrade shall lie more than 12</w:t>
      </w:r>
      <w:r w:rsidR="005D257E">
        <w:rPr>
          <w:lang w:val="en-AU"/>
        </w:rPr>
        <w:t> </w:t>
      </w:r>
      <w:r>
        <w:rPr>
          <w:lang w:val="en-AU"/>
        </w:rPr>
        <w:t xml:space="preserve">mm below a </w:t>
      </w:r>
      <w:proofErr w:type="gramStart"/>
      <w:r>
        <w:rPr>
          <w:lang w:val="en-AU"/>
        </w:rPr>
        <w:t>3</w:t>
      </w:r>
      <w:r w:rsidR="005D257E">
        <w:rPr>
          <w:lang w:val="en-AU"/>
        </w:rPr>
        <w:t> </w:t>
      </w:r>
      <w:r>
        <w:rPr>
          <w:lang w:val="en-AU"/>
        </w:rPr>
        <w:t>m</w:t>
      </w:r>
      <w:r w:rsidR="005D257E">
        <w:rPr>
          <w:lang w:val="en-AU"/>
        </w:rPr>
        <w:t>etre</w:t>
      </w:r>
      <w:proofErr w:type="gramEnd"/>
      <w:r>
        <w:rPr>
          <w:lang w:val="en-AU"/>
        </w:rPr>
        <w:t xml:space="preserve"> straight edge placed on the pavement in any direction.</w:t>
      </w:r>
    </w:p>
    <w:p w14:paraId="567CDC89" w14:textId="77777777" w:rsidR="00DC2BDB" w:rsidRDefault="00DC2BDB" w:rsidP="005745BA">
      <w:pPr>
        <w:spacing w:before="200"/>
        <w:ind w:left="454"/>
        <w:rPr>
          <w:lang w:val="en-AU"/>
        </w:rPr>
      </w:pPr>
      <w:r>
        <w:rPr>
          <w:lang w:val="en-AU"/>
        </w:rPr>
        <w:t>No point on the surface of the cement</w:t>
      </w:r>
      <w:r w:rsidR="005D257E">
        <w:rPr>
          <w:lang w:val="en-AU"/>
        </w:rPr>
        <w:t>itious</w:t>
      </w:r>
      <w:r>
        <w:rPr>
          <w:lang w:val="en-AU"/>
        </w:rPr>
        <w:t xml:space="preserve"> treated subbase layer shall vary by more than 8</w:t>
      </w:r>
      <w:r w:rsidR="005D257E">
        <w:rPr>
          <w:lang w:val="en-AU"/>
        </w:rPr>
        <w:t> </w:t>
      </w:r>
      <w:r>
        <w:rPr>
          <w:lang w:val="en-AU"/>
        </w:rPr>
        <w:t xml:space="preserve">mm from a </w:t>
      </w:r>
      <w:proofErr w:type="gramStart"/>
      <w:r>
        <w:rPr>
          <w:lang w:val="en-AU"/>
        </w:rPr>
        <w:t>3</w:t>
      </w:r>
      <w:r w:rsidR="005D257E">
        <w:rPr>
          <w:lang w:val="en-AU"/>
        </w:rPr>
        <w:t> </w:t>
      </w:r>
      <w:r>
        <w:rPr>
          <w:lang w:val="en-AU"/>
        </w:rPr>
        <w:t>m</w:t>
      </w:r>
      <w:r w:rsidR="005D257E">
        <w:rPr>
          <w:lang w:val="en-AU"/>
        </w:rPr>
        <w:t>etre</w:t>
      </w:r>
      <w:proofErr w:type="gramEnd"/>
      <w:r>
        <w:rPr>
          <w:lang w:val="en-AU"/>
        </w:rPr>
        <w:t xml:space="preserve"> straight edge, or 10 mm from a 6 m</w:t>
      </w:r>
      <w:r w:rsidR="005D257E">
        <w:rPr>
          <w:lang w:val="en-AU"/>
        </w:rPr>
        <w:t>etre</w:t>
      </w:r>
      <w:r>
        <w:rPr>
          <w:lang w:val="en-AU"/>
        </w:rPr>
        <w:t xml:space="preserve"> straight edge, placed in any direction.</w:t>
      </w:r>
    </w:p>
    <w:p w14:paraId="0F2546CB" w14:textId="77777777" w:rsidR="00DC2BDB" w:rsidRDefault="005D257E" w:rsidP="005745BA">
      <w:pPr>
        <w:spacing w:before="200"/>
        <w:ind w:left="454"/>
        <w:rPr>
          <w:lang w:val="en-AU"/>
        </w:rPr>
      </w:pPr>
      <w:r>
        <w:rPr>
          <w:lang w:val="en-AU"/>
        </w:rPr>
        <w:t>Water</w:t>
      </w:r>
      <w:r w:rsidR="00DC2BDB">
        <w:rPr>
          <w:lang w:val="en-AU"/>
        </w:rPr>
        <w:t xml:space="preserve"> shall </w:t>
      </w:r>
      <w:r>
        <w:rPr>
          <w:lang w:val="en-AU"/>
        </w:rPr>
        <w:t>not</w:t>
      </w:r>
      <w:r w:rsidR="00DC2BDB">
        <w:rPr>
          <w:lang w:val="en-AU"/>
        </w:rPr>
        <w:t xml:space="preserve"> pond on the surface of the cement</w:t>
      </w:r>
      <w:r>
        <w:rPr>
          <w:lang w:val="en-AU"/>
        </w:rPr>
        <w:t>itious</w:t>
      </w:r>
      <w:r w:rsidR="00DC2BDB">
        <w:rPr>
          <w:lang w:val="en-AU"/>
        </w:rPr>
        <w:t xml:space="preserve"> treated subbase.</w:t>
      </w:r>
    </w:p>
    <w:p w14:paraId="2419971D" w14:textId="77777777" w:rsidR="00DC2BDB" w:rsidRDefault="00DC2BDB" w:rsidP="000631F6">
      <w:pPr>
        <w:spacing w:line="180" w:lineRule="exact"/>
        <w:rPr>
          <w:lang w:val="en-AU"/>
        </w:rPr>
      </w:pPr>
    </w:p>
    <w:p w14:paraId="04C70450" w14:textId="77777777" w:rsidR="00A03080" w:rsidRDefault="00A03080" w:rsidP="000631F6">
      <w:pPr>
        <w:spacing w:line="180" w:lineRule="exact"/>
        <w:rPr>
          <w:lang w:val="en-AU"/>
        </w:rPr>
      </w:pPr>
    </w:p>
    <w:p w14:paraId="61FD1D32" w14:textId="77777777" w:rsidR="00DC2BDB" w:rsidRDefault="00DC2BDB" w:rsidP="006938C6">
      <w:pPr>
        <w:pStyle w:val="Heading3SS"/>
      </w:pPr>
      <w:r>
        <w:t>306.04</w:t>
      </w:r>
      <w:r>
        <w:tab/>
        <w:t>MATERIALS</w:t>
      </w:r>
    </w:p>
    <w:p w14:paraId="4655E07B" w14:textId="77777777" w:rsidR="00DC2BDB" w:rsidRDefault="00DC2BDB">
      <w:pPr>
        <w:rPr>
          <w:lang w:val="en-AU"/>
        </w:rPr>
      </w:pPr>
    </w:p>
    <w:p w14:paraId="679195F0" w14:textId="77777777" w:rsidR="00DC2BDB" w:rsidRDefault="00A068E4">
      <w:pPr>
        <w:rPr>
          <w:lang w:val="en-AU"/>
        </w:rPr>
      </w:pPr>
      <w:r>
        <w:rPr>
          <w:lang w:val="en-AU"/>
        </w:rPr>
        <w:t>T</w:t>
      </w:r>
      <w:r w:rsidR="00DC2BDB">
        <w:rPr>
          <w:lang w:val="en-AU"/>
        </w:rPr>
        <w:t xml:space="preserve">he Contractor shall supply all materials required to construct the cementitious treated </w:t>
      </w:r>
      <w:r w:rsidR="00883452">
        <w:rPr>
          <w:lang w:val="en-AU"/>
        </w:rPr>
        <w:t>pavement s</w:t>
      </w:r>
      <w:r w:rsidR="00DC2BDB">
        <w:rPr>
          <w:lang w:val="en-AU"/>
        </w:rPr>
        <w:t>ubbase.  The supply of Cementitious Treated Crushed Rock or Cementitious Treated Crushed Concrete shall comply with the requirements of Section 815.</w:t>
      </w:r>
    </w:p>
    <w:p w14:paraId="57320E6C" w14:textId="77777777" w:rsidR="000631F6" w:rsidRDefault="000631F6" w:rsidP="000631F6">
      <w:pPr>
        <w:spacing w:line="180" w:lineRule="exact"/>
        <w:rPr>
          <w:lang w:val="en-AU"/>
        </w:rPr>
      </w:pPr>
    </w:p>
    <w:p w14:paraId="36603734" w14:textId="77777777" w:rsidR="000631F6" w:rsidRDefault="000631F6" w:rsidP="000631F6">
      <w:pPr>
        <w:spacing w:line="180" w:lineRule="exact"/>
        <w:rPr>
          <w:lang w:val="en-AU"/>
        </w:rPr>
      </w:pPr>
    </w:p>
    <w:p w14:paraId="243283EF" w14:textId="77777777" w:rsidR="00DC2BDB" w:rsidRDefault="00DC2BDB" w:rsidP="0027402B">
      <w:pPr>
        <w:pStyle w:val="Heading3SS"/>
      </w:pPr>
      <w:r>
        <w:t>306.05</w:t>
      </w:r>
      <w:r>
        <w:tab/>
        <w:t>MOISTURE CONTENT</w:t>
      </w:r>
    </w:p>
    <w:p w14:paraId="40FC2A96" w14:textId="77777777" w:rsidR="00DC2BDB" w:rsidRDefault="00DC2BDB">
      <w:pPr>
        <w:rPr>
          <w:lang w:val="en-AU"/>
        </w:rPr>
      </w:pPr>
    </w:p>
    <w:p w14:paraId="24FA9044" w14:textId="77777777" w:rsidR="00DC2BDB" w:rsidRDefault="003C4584">
      <w:pPr>
        <w:rPr>
          <w:lang w:val="en-AU"/>
        </w:rPr>
      </w:pPr>
      <w:r w:rsidRPr="003C4584">
        <w:rPr>
          <w:lang w:val="en-AU"/>
        </w:rPr>
        <w:t>The moisture content of the material at the time of spreading and compaction, expressed as a percentage by mass, shall be within plus 0.5% and minus 1.0 % from the Modified optimum moisture content.</w:t>
      </w:r>
    </w:p>
    <w:p w14:paraId="3B7D3707" w14:textId="77777777" w:rsidR="000631F6" w:rsidRDefault="000631F6" w:rsidP="000631F6">
      <w:pPr>
        <w:spacing w:line="180" w:lineRule="exact"/>
        <w:rPr>
          <w:lang w:val="en-AU"/>
        </w:rPr>
      </w:pPr>
    </w:p>
    <w:p w14:paraId="4DB4D578" w14:textId="77777777" w:rsidR="000631F6" w:rsidRDefault="000631F6" w:rsidP="000631F6">
      <w:pPr>
        <w:spacing w:line="180" w:lineRule="exact"/>
        <w:rPr>
          <w:lang w:val="en-AU"/>
        </w:rPr>
      </w:pPr>
    </w:p>
    <w:p w14:paraId="2D6E32D6" w14:textId="77777777" w:rsidR="00317576" w:rsidRDefault="00317576" w:rsidP="00317576">
      <w:pPr>
        <w:pStyle w:val="Heading3SS"/>
      </w:pPr>
      <w:r>
        <w:t>306.06</w:t>
      </w:r>
      <w:r>
        <w:tab/>
        <w:t>WATER</w:t>
      </w:r>
    </w:p>
    <w:p w14:paraId="77A11833" w14:textId="77777777" w:rsidR="00317576" w:rsidRDefault="00317576" w:rsidP="00317576">
      <w:pPr>
        <w:spacing w:before="200"/>
        <w:rPr>
          <w:lang w:val="en-AU"/>
        </w:rPr>
      </w:pPr>
      <w:r>
        <w:rPr>
          <w:lang w:val="en-AU"/>
        </w:rPr>
        <w:t>Except for the purpose of curing, no water shall be added to the cementitious treated material.</w:t>
      </w:r>
    </w:p>
    <w:p w14:paraId="7A2A6245" w14:textId="77777777" w:rsidR="00317576" w:rsidRDefault="00317576" w:rsidP="00317576">
      <w:pPr>
        <w:spacing w:before="200"/>
        <w:rPr>
          <w:lang w:val="en-AU"/>
        </w:rPr>
      </w:pPr>
      <w:r>
        <w:rPr>
          <w:lang w:val="en-AU"/>
        </w:rPr>
        <w:t>Water shall be clean and substantially free from detrimental impurities such as oils, salts, acids, alkalis and vegetable substances</w:t>
      </w:r>
      <w:r>
        <w:t>.</w:t>
      </w:r>
      <w:r w:rsidRPr="00843229">
        <w:t xml:space="preserve"> </w:t>
      </w:r>
      <w:r>
        <w:t xml:space="preserve"> Water sources shall be tested for electrical conductivity and pH, in accordance with the current Australian Standards as listed in Section 175 </w:t>
      </w:r>
      <w:r w:rsidRPr="00D0491F">
        <w:rPr>
          <w:i/>
        </w:rPr>
        <w:t>Referenced Documents for Standard Specifications for Roadworks and Bridgeworks</w:t>
      </w:r>
      <w:r>
        <w:t xml:space="preserve"> prior to use.  The electrical conductivity shall not be more than 3500 µS/cm and pH within the range of 6 to 10 unless otherwise approved.  Water sources classified by the relevant water authority as potable water shall be exempt from this requirement.  Water sources shall be tested at a maximum of </w:t>
      </w:r>
      <w:proofErr w:type="gramStart"/>
      <w:r>
        <w:t>twelve monthly</w:t>
      </w:r>
      <w:proofErr w:type="gramEnd"/>
      <w:r>
        <w:t xml:space="preserve"> intervals or when the nature of the water source has changed. The use of reclaimed water will require the approval of the Superintendent and shall conform to the VicRoads guidelines for reclaimed water as listed under other referenced documents in Section 175.</w:t>
      </w:r>
    </w:p>
    <w:p w14:paraId="4708FA1C" w14:textId="77777777" w:rsidR="002B563A" w:rsidRDefault="002B563A" w:rsidP="000631F6">
      <w:pPr>
        <w:spacing w:line="180" w:lineRule="exact"/>
        <w:rPr>
          <w:lang w:val="en-AU"/>
        </w:rPr>
      </w:pPr>
    </w:p>
    <w:p w14:paraId="3E6FE68E" w14:textId="77777777" w:rsidR="002B563A" w:rsidRDefault="002B563A" w:rsidP="000631F6">
      <w:pPr>
        <w:spacing w:line="180" w:lineRule="exact"/>
        <w:rPr>
          <w:lang w:val="en-AU"/>
        </w:rPr>
      </w:pPr>
    </w:p>
    <w:p w14:paraId="65EC9C04" w14:textId="77777777" w:rsidR="00317576" w:rsidRDefault="00317576" w:rsidP="00317576">
      <w:pPr>
        <w:pStyle w:val="Heading3SS"/>
      </w:pPr>
      <w:r>
        <w:t>306.07</w:t>
      </w:r>
      <w:r>
        <w:tab/>
        <w:t>DELIVERY</w:t>
      </w:r>
    </w:p>
    <w:p w14:paraId="412A3BC4" w14:textId="77777777" w:rsidR="00317576" w:rsidRDefault="00317576" w:rsidP="00317576">
      <w:pPr>
        <w:rPr>
          <w:lang w:val="en-AU"/>
        </w:rPr>
      </w:pPr>
    </w:p>
    <w:p w14:paraId="0C43A0C7" w14:textId="77777777" w:rsidR="00317576" w:rsidRDefault="00317576" w:rsidP="00317576">
      <w:pPr>
        <w:pStyle w:val="Heading5SS"/>
      </w:pPr>
      <w:r>
        <w:t>(a)</w:t>
      </w:r>
      <w:r>
        <w:tab/>
        <w:t>Delivery Vehicles</w:t>
      </w:r>
    </w:p>
    <w:p w14:paraId="197BAC37" w14:textId="77777777" w:rsidR="00317576" w:rsidRDefault="00317576" w:rsidP="00317576">
      <w:pPr>
        <w:tabs>
          <w:tab w:val="left" w:pos="454"/>
        </w:tabs>
        <w:spacing w:before="160"/>
        <w:ind w:left="454" w:hanging="454"/>
        <w:rPr>
          <w:lang w:val="en-AU"/>
        </w:rPr>
      </w:pPr>
      <w:r>
        <w:rPr>
          <w:lang w:val="en-AU"/>
        </w:rPr>
        <w:tab/>
        <w:t>Delivery vehicles shall have bodies fitted with covers of a suitable material to prevent loss of moisture during transport.  Vehicles used for delivery of material to the hoppers of pavers shall have bodies or discharge equipment which will enable the load to be discharged direct into the hopper without spillage and in such a way that segregation will be minimised.</w:t>
      </w:r>
    </w:p>
    <w:p w14:paraId="388A7D1E" w14:textId="77777777" w:rsidR="006938C6" w:rsidRDefault="00B612DE" w:rsidP="00B03E0D">
      <w:pPr>
        <w:rPr>
          <w:lang w:val="en-AU"/>
        </w:rPr>
      </w:pPr>
      <w:r>
        <w:rPr>
          <w:noProof/>
          <w:snapToGrid/>
          <w:lang w:val="en-AU" w:eastAsia="en-AU"/>
        </w:rPr>
        <w:pict w14:anchorId="68886AC9">
          <v:shape id="_x0000_s1046" type="#_x0000_t202" style="position:absolute;margin-left:0;margin-top:779.65pt;width:481.9pt;height:36.85pt;z-index:-251659776;mso-wrap-distance-top:5.65pt;mso-position-horizontal:center;mso-position-horizontal-relative:page;mso-position-vertical-relative:page" stroked="f">
            <v:textbox style="mso-next-textbox:#_x0000_s1046" inset="0,,0">
              <w:txbxContent>
                <w:p w14:paraId="32B21BD6" w14:textId="77777777" w:rsidR="00411692" w:rsidRDefault="00411692" w:rsidP="00FB794C">
                  <w:pPr>
                    <w:pBdr>
                      <w:top w:val="single" w:sz="6" w:space="1" w:color="000000"/>
                    </w:pBdr>
                    <w:spacing w:line="60" w:lineRule="exact"/>
                    <w:jc w:val="right"/>
                    <w:rPr>
                      <w:b/>
                    </w:rPr>
                  </w:pPr>
                </w:p>
                <w:p w14:paraId="75E2B52F" w14:textId="14FB3A85" w:rsidR="00411692" w:rsidRDefault="00411692" w:rsidP="00FB794C">
                  <w:pPr>
                    <w:pBdr>
                      <w:top w:val="single" w:sz="6" w:space="1" w:color="000000"/>
                    </w:pBdr>
                    <w:jc w:val="right"/>
                  </w:pPr>
                  <w:r>
                    <w:rPr>
                      <w:b/>
                    </w:rPr>
                    <w:t>©</w:t>
                  </w:r>
                  <w:r>
                    <w:t xml:space="preserve"> </w:t>
                  </w:r>
                  <w:r w:rsidR="00B612DE">
                    <w:t xml:space="preserve">Department of </w:t>
                  </w:r>
                  <w:proofErr w:type="gramStart"/>
                  <w:r w:rsidR="00B612DE">
                    <w:t>Transport</w:t>
                  </w:r>
                  <w:r>
                    <w:t xml:space="preserve">  </w:t>
                  </w:r>
                  <w:r w:rsidR="009A3C43">
                    <w:t>October</w:t>
                  </w:r>
                  <w:proofErr w:type="gramEnd"/>
                  <w:r w:rsidR="009A3C43">
                    <w:t xml:space="preserve"> 2019</w:t>
                  </w:r>
                </w:p>
                <w:p w14:paraId="154DC11D" w14:textId="77777777" w:rsidR="00411692" w:rsidRDefault="00411692" w:rsidP="00FB794C">
                  <w:pPr>
                    <w:jc w:val="right"/>
                  </w:pPr>
                  <w:r>
                    <w:t>Section 306 (Page 3</w:t>
                  </w:r>
                  <w:r w:rsidR="00AD4F9C">
                    <w:t xml:space="preserve"> of 7)</w:t>
                  </w:r>
                </w:p>
                <w:p w14:paraId="62F644E2" w14:textId="77777777" w:rsidR="00411692" w:rsidRDefault="00411692" w:rsidP="00FB794C"/>
              </w:txbxContent>
            </v:textbox>
            <w10:wrap anchorx="page" anchory="page"/>
            <w10:anchorlock/>
          </v:shape>
        </w:pict>
      </w:r>
      <w:r w:rsidR="00DC2BDB">
        <w:rPr>
          <w:lang w:val="en-AU"/>
        </w:rPr>
        <w:br w:type="page"/>
      </w:r>
    </w:p>
    <w:p w14:paraId="33EEB826" w14:textId="77777777" w:rsidR="00DC2BDB" w:rsidRDefault="00DC2BDB" w:rsidP="006938C6">
      <w:pPr>
        <w:pStyle w:val="Heading5SS"/>
      </w:pPr>
      <w:r>
        <w:t>(b)</w:t>
      </w:r>
      <w:r>
        <w:tab/>
        <w:t>Delivery Dockets</w:t>
      </w:r>
    </w:p>
    <w:p w14:paraId="681B51E2" w14:textId="77777777" w:rsidR="00DC2BDB" w:rsidRDefault="00DC2BDB" w:rsidP="00A8503E">
      <w:pPr>
        <w:spacing w:before="160"/>
        <w:ind w:left="454"/>
        <w:rPr>
          <w:lang w:val="en-AU"/>
        </w:rPr>
      </w:pPr>
      <w:r>
        <w:rPr>
          <w:lang w:val="en-AU"/>
        </w:rPr>
        <w:t>Delivery dockets shall show:</w:t>
      </w:r>
    </w:p>
    <w:p w14:paraId="7B214143" w14:textId="77777777" w:rsidR="00DC2BDB" w:rsidRDefault="00DC2BDB" w:rsidP="00F504DD">
      <w:pPr>
        <w:tabs>
          <w:tab w:val="left" w:pos="454"/>
          <w:tab w:val="right" w:pos="851"/>
          <w:tab w:val="left" w:pos="993"/>
        </w:tabs>
        <w:spacing w:before="100"/>
        <w:ind w:left="992" w:hanging="992"/>
        <w:rPr>
          <w:lang w:val="en-AU"/>
        </w:rPr>
      </w:pPr>
      <w:r>
        <w:rPr>
          <w:lang w:val="en-AU"/>
        </w:rPr>
        <w:tab/>
      </w:r>
      <w:r>
        <w:rPr>
          <w:lang w:val="en-AU"/>
        </w:rPr>
        <w:tab/>
        <w:t>(i)</w:t>
      </w:r>
      <w:r>
        <w:rPr>
          <w:lang w:val="en-AU"/>
        </w:rPr>
        <w:tab/>
        <w:t>name of the supplier, and location of plant;</w:t>
      </w:r>
    </w:p>
    <w:p w14:paraId="45D19256" w14:textId="77777777" w:rsidR="00DC2BDB" w:rsidRDefault="00DC2BDB" w:rsidP="00F504DD">
      <w:pPr>
        <w:tabs>
          <w:tab w:val="left" w:pos="454"/>
          <w:tab w:val="right" w:pos="851"/>
          <w:tab w:val="left" w:pos="993"/>
        </w:tabs>
        <w:spacing w:before="100"/>
        <w:ind w:left="993" w:hanging="993"/>
        <w:rPr>
          <w:lang w:val="en-AU"/>
        </w:rPr>
      </w:pPr>
      <w:r>
        <w:rPr>
          <w:lang w:val="en-AU"/>
        </w:rPr>
        <w:tab/>
      </w:r>
      <w:r>
        <w:rPr>
          <w:lang w:val="en-AU"/>
        </w:rPr>
        <w:tab/>
        <w:t>(ii)</w:t>
      </w:r>
      <w:r>
        <w:rPr>
          <w:lang w:val="en-AU"/>
        </w:rPr>
        <w:tab/>
        <w:t>docket number;</w:t>
      </w:r>
    </w:p>
    <w:p w14:paraId="13E7D5C5" w14:textId="77777777" w:rsidR="00DC2BDB" w:rsidRDefault="00EA3219" w:rsidP="00F504DD">
      <w:pPr>
        <w:tabs>
          <w:tab w:val="left" w:pos="454"/>
          <w:tab w:val="right" w:pos="851"/>
          <w:tab w:val="left" w:pos="993"/>
        </w:tabs>
        <w:spacing w:before="100"/>
        <w:ind w:left="993" w:hanging="993"/>
        <w:rPr>
          <w:lang w:val="en-AU"/>
        </w:rPr>
      </w:pPr>
      <w:r>
        <w:rPr>
          <w:lang w:val="en-AU"/>
        </w:rPr>
        <w:tab/>
      </w:r>
      <w:r w:rsidR="00DC2BDB">
        <w:rPr>
          <w:lang w:val="en-AU"/>
        </w:rPr>
        <w:tab/>
        <w:t>(iii)</w:t>
      </w:r>
      <w:r w:rsidR="00DC2BDB">
        <w:rPr>
          <w:lang w:val="en-AU"/>
        </w:rPr>
        <w:tab/>
        <w:t>name of user;</w:t>
      </w:r>
    </w:p>
    <w:p w14:paraId="4000A8F4" w14:textId="77777777" w:rsidR="00DC2BDB" w:rsidRDefault="00DC2BDB" w:rsidP="00F504DD">
      <w:pPr>
        <w:tabs>
          <w:tab w:val="left" w:pos="454"/>
          <w:tab w:val="right" w:pos="851"/>
          <w:tab w:val="left" w:pos="993"/>
        </w:tabs>
        <w:spacing w:before="100"/>
        <w:ind w:left="993" w:hanging="993"/>
        <w:rPr>
          <w:lang w:val="en-AU"/>
        </w:rPr>
      </w:pPr>
      <w:r>
        <w:rPr>
          <w:lang w:val="en-AU"/>
        </w:rPr>
        <w:tab/>
      </w:r>
      <w:r>
        <w:rPr>
          <w:lang w:val="en-AU"/>
        </w:rPr>
        <w:tab/>
        <w:t>(iv)</w:t>
      </w:r>
      <w:r>
        <w:rPr>
          <w:lang w:val="en-AU"/>
        </w:rPr>
        <w:tab/>
        <w:t>project name and location (or contract number);</w:t>
      </w:r>
    </w:p>
    <w:p w14:paraId="745E6FEE" w14:textId="77777777" w:rsidR="00DC2BDB" w:rsidRDefault="00DC2BDB" w:rsidP="00F504DD">
      <w:pPr>
        <w:tabs>
          <w:tab w:val="left" w:pos="454"/>
          <w:tab w:val="right" w:pos="851"/>
          <w:tab w:val="left" w:pos="993"/>
        </w:tabs>
        <w:spacing w:before="100"/>
        <w:ind w:left="993" w:hanging="993"/>
        <w:rPr>
          <w:lang w:val="en-AU"/>
        </w:rPr>
      </w:pPr>
      <w:r>
        <w:rPr>
          <w:lang w:val="en-AU"/>
        </w:rPr>
        <w:tab/>
      </w:r>
      <w:r>
        <w:rPr>
          <w:lang w:val="en-AU"/>
        </w:rPr>
        <w:tab/>
        <w:t>(v)</w:t>
      </w:r>
      <w:r>
        <w:rPr>
          <w:lang w:val="en-AU"/>
        </w:rPr>
        <w:tab/>
        <w:t>registered number or fleet number of the vehicle;</w:t>
      </w:r>
    </w:p>
    <w:p w14:paraId="65F8EEC0" w14:textId="77777777" w:rsidR="00DC2BDB" w:rsidRDefault="00DC2BDB" w:rsidP="00F504DD">
      <w:pPr>
        <w:tabs>
          <w:tab w:val="left" w:pos="454"/>
          <w:tab w:val="right" w:pos="851"/>
          <w:tab w:val="left" w:pos="993"/>
        </w:tabs>
        <w:spacing w:before="100"/>
        <w:ind w:left="993" w:hanging="993"/>
        <w:rPr>
          <w:lang w:val="en-AU"/>
        </w:rPr>
      </w:pPr>
      <w:r>
        <w:rPr>
          <w:lang w:val="en-AU"/>
        </w:rPr>
        <w:tab/>
      </w:r>
      <w:r>
        <w:rPr>
          <w:lang w:val="en-AU"/>
        </w:rPr>
        <w:tab/>
        <w:t>(vi)</w:t>
      </w:r>
      <w:r>
        <w:rPr>
          <w:lang w:val="en-AU"/>
        </w:rPr>
        <w:tab/>
        <w:t>date and time of loading;</w:t>
      </w:r>
    </w:p>
    <w:p w14:paraId="19EC2E2B" w14:textId="77777777" w:rsidR="00DC2BDB" w:rsidRDefault="00DC2BDB" w:rsidP="00F504DD">
      <w:pPr>
        <w:tabs>
          <w:tab w:val="left" w:pos="454"/>
          <w:tab w:val="right" w:pos="851"/>
          <w:tab w:val="left" w:pos="993"/>
        </w:tabs>
        <w:spacing w:before="100"/>
        <w:ind w:left="993" w:hanging="993"/>
        <w:rPr>
          <w:lang w:val="en-AU"/>
        </w:rPr>
      </w:pPr>
      <w:r>
        <w:rPr>
          <w:lang w:val="en-AU"/>
        </w:rPr>
        <w:tab/>
      </w:r>
      <w:r>
        <w:rPr>
          <w:lang w:val="en-AU"/>
        </w:rPr>
        <w:tab/>
        <w:t>(vii)</w:t>
      </w:r>
      <w:r>
        <w:rPr>
          <w:lang w:val="en-AU"/>
        </w:rPr>
        <w:tab/>
        <w:t>nature and source of material;</w:t>
      </w:r>
    </w:p>
    <w:p w14:paraId="14B3E91D" w14:textId="77777777" w:rsidR="00DC2BDB" w:rsidRDefault="00DC2BDB" w:rsidP="00F504DD">
      <w:pPr>
        <w:tabs>
          <w:tab w:val="left" w:pos="454"/>
          <w:tab w:val="right" w:pos="851"/>
          <w:tab w:val="left" w:pos="993"/>
        </w:tabs>
        <w:spacing w:before="100"/>
        <w:ind w:left="993" w:hanging="993"/>
        <w:rPr>
          <w:lang w:val="en-AU"/>
        </w:rPr>
      </w:pPr>
      <w:r>
        <w:rPr>
          <w:lang w:val="en-AU"/>
        </w:rPr>
        <w:tab/>
      </w:r>
      <w:r>
        <w:rPr>
          <w:lang w:val="en-AU"/>
        </w:rPr>
        <w:tab/>
        <w:t>(viii)</w:t>
      </w:r>
      <w:r>
        <w:rPr>
          <w:lang w:val="en-AU"/>
        </w:rPr>
        <w:tab/>
        <w:t>empty and loaded masses of the vehicle (where material is scheduled for measurement by mass);</w:t>
      </w:r>
    </w:p>
    <w:p w14:paraId="5502A792" w14:textId="77777777" w:rsidR="00DC2BDB" w:rsidRDefault="00DC2BDB" w:rsidP="00F504DD">
      <w:pPr>
        <w:tabs>
          <w:tab w:val="left" w:pos="454"/>
          <w:tab w:val="right" w:pos="851"/>
          <w:tab w:val="left" w:pos="993"/>
        </w:tabs>
        <w:spacing w:before="100"/>
        <w:ind w:left="993" w:hanging="993"/>
        <w:rPr>
          <w:lang w:val="en-AU"/>
        </w:rPr>
      </w:pPr>
      <w:r>
        <w:rPr>
          <w:lang w:val="en-AU"/>
        </w:rPr>
        <w:tab/>
      </w:r>
      <w:r>
        <w:rPr>
          <w:lang w:val="en-AU"/>
        </w:rPr>
        <w:tab/>
        <w:t>(ix)</w:t>
      </w:r>
      <w:r>
        <w:rPr>
          <w:lang w:val="en-AU"/>
        </w:rPr>
        <w:tab/>
        <w:t>loose volume in delivery vehicle.</w:t>
      </w:r>
    </w:p>
    <w:p w14:paraId="61E3620E" w14:textId="77777777" w:rsidR="00DC2BDB" w:rsidRDefault="00DC2BDB" w:rsidP="00A8503E">
      <w:pPr>
        <w:spacing w:before="160"/>
        <w:ind w:left="454"/>
        <w:rPr>
          <w:lang w:val="en-AU"/>
        </w:rPr>
      </w:pPr>
      <w:r>
        <w:rPr>
          <w:lang w:val="en-AU"/>
        </w:rPr>
        <w:t>Where material is scheduled for measurement by loose volume in delivery vehicles or by mass, a delivery docket for each load shall be issued at the point of delivery.</w:t>
      </w:r>
    </w:p>
    <w:p w14:paraId="6B35A101" w14:textId="77777777" w:rsidR="00DC2BDB" w:rsidRDefault="00DC2BDB" w:rsidP="006A62EB">
      <w:pPr>
        <w:spacing w:before="160"/>
        <w:ind w:left="454"/>
        <w:rPr>
          <w:lang w:val="en-AU"/>
        </w:rPr>
      </w:pPr>
      <w:r>
        <w:rPr>
          <w:lang w:val="en-AU"/>
        </w:rPr>
        <w:t>Where material is measured by other means and for Lump Sum Contracts, the Contractor shall make delivery dockets available for inspection on request.</w:t>
      </w:r>
    </w:p>
    <w:p w14:paraId="036E8F1D" w14:textId="77777777" w:rsidR="00DC2BDB" w:rsidRDefault="00DC2BDB">
      <w:pPr>
        <w:rPr>
          <w:lang w:val="en-AU"/>
        </w:rPr>
      </w:pPr>
    </w:p>
    <w:p w14:paraId="437506CE" w14:textId="77777777" w:rsidR="00DC2BDB" w:rsidRDefault="00DC2BDB">
      <w:pPr>
        <w:rPr>
          <w:lang w:val="en-AU"/>
        </w:rPr>
      </w:pPr>
    </w:p>
    <w:p w14:paraId="7B92DA4F" w14:textId="77777777" w:rsidR="00DC2BDB" w:rsidRDefault="00DC2BDB" w:rsidP="0027402B">
      <w:pPr>
        <w:pStyle w:val="Heading3SS"/>
      </w:pPr>
      <w:r>
        <w:t>306.08</w:t>
      </w:r>
      <w:r>
        <w:tab/>
        <w:t>JOINTING</w:t>
      </w:r>
    </w:p>
    <w:p w14:paraId="4BCE01DC" w14:textId="77777777" w:rsidR="00DC2BDB" w:rsidRDefault="00DC2BDB" w:rsidP="006A62EB">
      <w:pPr>
        <w:spacing w:before="200"/>
        <w:rPr>
          <w:lang w:val="en-AU"/>
        </w:rPr>
      </w:pPr>
      <w:r>
        <w:rPr>
          <w:lang w:val="en-AU"/>
        </w:rPr>
        <w:t>The layout of joints shall conform to the following requirements unless otherwise approved by the Superintendent:</w:t>
      </w:r>
    </w:p>
    <w:p w14:paraId="392A23D2" w14:textId="77777777" w:rsidR="00DC2BDB" w:rsidRDefault="00DC2BDB" w:rsidP="00F504DD">
      <w:pPr>
        <w:tabs>
          <w:tab w:val="left" w:pos="454"/>
        </w:tabs>
        <w:spacing w:before="140"/>
        <w:ind w:left="454" w:hanging="454"/>
        <w:rPr>
          <w:lang w:val="en-AU"/>
        </w:rPr>
      </w:pPr>
      <w:r>
        <w:rPr>
          <w:lang w:val="en-AU"/>
        </w:rPr>
        <w:t>(a)</w:t>
      </w:r>
      <w:r>
        <w:rPr>
          <w:lang w:val="en-AU"/>
        </w:rPr>
        <w:tab/>
        <w:t>material shall be spread in such a manner as to minimise the number of joints;</w:t>
      </w:r>
    </w:p>
    <w:p w14:paraId="20AD1365" w14:textId="77777777" w:rsidR="00DC2BDB" w:rsidRDefault="00DC2BDB" w:rsidP="00F504DD">
      <w:pPr>
        <w:tabs>
          <w:tab w:val="left" w:pos="454"/>
        </w:tabs>
        <w:spacing w:before="140"/>
        <w:ind w:left="454" w:hanging="454"/>
        <w:rPr>
          <w:lang w:val="en-AU"/>
        </w:rPr>
      </w:pPr>
      <w:r>
        <w:rPr>
          <w:lang w:val="en-AU"/>
        </w:rPr>
        <w:t>(b)</w:t>
      </w:r>
      <w:r>
        <w:rPr>
          <w:lang w:val="en-AU"/>
        </w:rPr>
        <w:tab/>
        <w:t>in any layer, transverse joints in adjoining paver runs shall be offset by not less than 2 m;</w:t>
      </w:r>
    </w:p>
    <w:p w14:paraId="2ACDD6F2" w14:textId="77777777" w:rsidR="006A62EB" w:rsidRDefault="006A62EB" w:rsidP="00F504DD">
      <w:pPr>
        <w:tabs>
          <w:tab w:val="left" w:pos="454"/>
        </w:tabs>
        <w:spacing w:before="140"/>
        <w:ind w:left="454" w:hanging="454"/>
        <w:rPr>
          <w:lang w:val="en-AU"/>
        </w:rPr>
      </w:pPr>
      <w:r>
        <w:rPr>
          <w:lang w:val="en-AU"/>
        </w:rPr>
        <w:t>(c)</w:t>
      </w:r>
      <w:r>
        <w:rPr>
          <w:lang w:val="en-AU"/>
        </w:rPr>
        <w:tab/>
        <w:t>transverse joints shall be offset from one layer to the next by not less than 2 m;</w:t>
      </w:r>
    </w:p>
    <w:p w14:paraId="35BBBFCE" w14:textId="77777777" w:rsidR="006A62EB" w:rsidRDefault="006A62EB" w:rsidP="00F504DD">
      <w:pPr>
        <w:tabs>
          <w:tab w:val="left" w:pos="454"/>
        </w:tabs>
        <w:spacing w:before="140"/>
        <w:ind w:left="454" w:hanging="454"/>
        <w:rPr>
          <w:lang w:val="en-AU"/>
        </w:rPr>
      </w:pPr>
      <w:r>
        <w:rPr>
          <w:lang w:val="en-AU"/>
        </w:rPr>
        <w:t>(d)</w:t>
      </w:r>
      <w:r>
        <w:rPr>
          <w:lang w:val="en-AU"/>
        </w:rPr>
        <w:tab/>
        <w:t>longitudinal joints shall be offset from one layer to the next by not less than 150 mm;</w:t>
      </w:r>
    </w:p>
    <w:p w14:paraId="7EBA1D05" w14:textId="77777777" w:rsidR="006A62EB" w:rsidRDefault="006A62EB" w:rsidP="00F504DD">
      <w:pPr>
        <w:tabs>
          <w:tab w:val="left" w:pos="454"/>
        </w:tabs>
        <w:spacing w:before="140"/>
        <w:ind w:left="454" w:hanging="454"/>
        <w:rPr>
          <w:lang w:val="en-AU"/>
        </w:rPr>
      </w:pPr>
      <w:r>
        <w:rPr>
          <w:lang w:val="en-AU"/>
        </w:rPr>
        <w:t>(e)</w:t>
      </w:r>
      <w:r>
        <w:rPr>
          <w:lang w:val="en-AU"/>
        </w:rPr>
        <w:tab/>
        <w:t>longitudinal joints shall be located within 300 mm of the planned position of traffic lane lines or within 300 mm of the centre of a traffic lane.</w:t>
      </w:r>
    </w:p>
    <w:p w14:paraId="44F84B31" w14:textId="77777777" w:rsidR="006A62EB" w:rsidRDefault="006A62EB" w:rsidP="006A62EB">
      <w:pPr>
        <w:spacing w:before="200"/>
        <w:rPr>
          <w:lang w:val="en-AU"/>
        </w:rPr>
      </w:pPr>
      <w:r>
        <w:rPr>
          <w:lang w:val="en-AU"/>
        </w:rPr>
        <w:t>If approval is given to depart from the joint location specified in 306.08(a) to (e), the Contractor shall record of the location of these joints.</w:t>
      </w:r>
    </w:p>
    <w:p w14:paraId="046972BE" w14:textId="77777777" w:rsidR="006A62EB" w:rsidRDefault="006A62EB" w:rsidP="006A62EB">
      <w:pPr>
        <w:spacing w:before="200"/>
        <w:rPr>
          <w:lang w:val="en-AU"/>
        </w:rPr>
      </w:pPr>
      <w:r>
        <w:rPr>
          <w:lang w:val="en-AU"/>
        </w:rPr>
        <w:t>The edge of any paver run shall be kept moist until spreading and compaction have been completed in adjacent paver runs.</w:t>
      </w:r>
    </w:p>
    <w:p w14:paraId="5C6391A1" w14:textId="77777777" w:rsidR="006A62EB" w:rsidRDefault="006A62EB" w:rsidP="006A62EB">
      <w:pPr>
        <w:spacing w:before="200"/>
        <w:rPr>
          <w:lang w:val="en-AU"/>
        </w:rPr>
      </w:pPr>
      <w:r>
        <w:rPr>
          <w:lang w:val="en-AU"/>
        </w:rPr>
        <w:t>Longitudinal and transverse joints shall be made where specified, or at the end of each day's work, or where spreading operations have been halted for a period in excess of the maximum allowable working time for the binder as specified in Clause 306.09 and Table 306.091.  If the binder is not one</w:t>
      </w:r>
      <w:r w:rsidR="00553D99">
        <w:rPr>
          <w:lang w:val="en-AU"/>
        </w:rPr>
        <w:t xml:space="preserve"> of the binders listed in Table </w:t>
      </w:r>
      <w:r>
        <w:rPr>
          <w:lang w:val="en-AU"/>
        </w:rPr>
        <w:t>306.091 the allowable working time for the binder shall be determined in accordance with the VicRoads Test Method.</w:t>
      </w:r>
    </w:p>
    <w:p w14:paraId="72D6A693" w14:textId="77777777" w:rsidR="006A62EB" w:rsidRDefault="006A62EB" w:rsidP="006A62EB">
      <w:pPr>
        <w:spacing w:before="200"/>
        <w:rPr>
          <w:lang w:val="en-AU"/>
        </w:rPr>
      </w:pPr>
      <w:r>
        <w:rPr>
          <w:lang w:val="en-AU"/>
        </w:rPr>
        <w:t>Joints shall be made in a careful manner and shall be prepared immediately prior to the recommencement of spreading operations by cutting back the edge of previously laid material to a clean vertical face in compacted material of the full specified layer thickness.  Longitudinal joints shall be constructed parallel to the centre line of the carriageway and transverse joints at right angles to the centre line.</w:t>
      </w:r>
    </w:p>
    <w:p w14:paraId="2FC1547B" w14:textId="77777777" w:rsidR="006A62EB" w:rsidRDefault="006A62EB" w:rsidP="006A62EB">
      <w:pPr>
        <w:spacing w:before="200"/>
        <w:rPr>
          <w:lang w:val="en-AU"/>
        </w:rPr>
      </w:pPr>
      <w:r>
        <w:rPr>
          <w:lang w:val="en-AU"/>
        </w:rPr>
        <w:t>Material cut during the preparation of joints shall be removed from site.</w:t>
      </w:r>
    </w:p>
    <w:p w14:paraId="26D2CEEC" w14:textId="77777777" w:rsidR="006A62EB" w:rsidRDefault="006A62EB" w:rsidP="006A62EB">
      <w:pPr>
        <w:spacing w:before="200"/>
        <w:rPr>
          <w:lang w:val="en-AU"/>
        </w:rPr>
      </w:pPr>
      <w:r>
        <w:rPr>
          <w:lang w:val="en-AU"/>
        </w:rPr>
        <w:t>The faces of all joints shall be thoroughly wetted immediately before spreading new material.</w:t>
      </w:r>
    </w:p>
    <w:p w14:paraId="0058FE38" w14:textId="77777777" w:rsidR="006A62EB" w:rsidRDefault="006A62EB" w:rsidP="006A62EB">
      <w:pPr>
        <w:spacing w:before="200"/>
        <w:rPr>
          <w:lang w:val="en-AU"/>
        </w:rPr>
      </w:pPr>
      <w:r>
        <w:rPr>
          <w:lang w:val="en-AU"/>
        </w:rPr>
        <w:t>The level and shape of the surface at all joints shall be within the limits specified in Clause 306.03.</w:t>
      </w:r>
    </w:p>
    <w:p w14:paraId="711D4C95" w14:textId="77777777" w:rsidR="00425E47" w:rsidRDefault="00B612DE" w:rsidP="00425E47">
      <w:pPr>
        <w:rPr>
          <w:lang w:val="en-AU"/>
        </w:rPr>
      </w:pPr>
      <w:r>
        <w:rPr>
          <w:b/>
          <w:noProof/>
          <w:snapToGrid/>
          <w:lang w:val="en-AU" w:eastAsia="en-AU"/>
        </w:rPr>
        <w:pict w14:anchorId="547591C9">
          <v:shape id="_x0000_s1047" type="#_x0000_t202" style="position:absolute;margin-left:0;margin-top:779.65pt;width:481.9pt;height:36.85pt;z-index:-251658752;mso-wrap-distance-top:5.65pt;mso-position-horizontal:center;mso-position-horizontal-relative:page;mso-position-vertical-relative:page" stroked="f">
            <v:textbox style="mso-next-textbox:#_x0000_s1047" inset="0,,0">
              <w:txbxContent>
                <w:p w14:paraId="2BF0D68F" w14:textId="77777777" w:rsidR="00411692" w:rsidRDefault="00411692" w:rsidP="00FB794C">
                  <w:pPr>
                    <w:pBdr>
                      <w:top w:val="single" w:sz="6" w:space="1" w:color="000000"/>
                    </w:pBdr>
                    <w:spacing w:line="60" w:lineRule="exact"/>
                    <w:jc w:val="right"/>
                    <w:rPr>
                      <w:b/>
                    </w:rPr>
                  </w:pPr>
                </w:p>
                <w:p w14:paraId="5163EC16" w14:textId="1D43AC81" w:rsidR="00411692" w:rsidRDefault="00411692" w:rsidP="00FB794C">
                  <w:pPr>
                    <w:pBdr>
                      <w:top w:val="single" w:sz="6" w:space="1" w:color="000000"/>
                    </w:pBdr>
                    <w:jc w:val="right"/>
                  </w:pPr>
                  <w:r>
                    <w:rPr>
                      <w:b/>
                    </w:rPr>
                    <w:t>©</w:t>
                  </w:r>
                  <w:r>
                    <w:t xml:space="preserve"> </w:t>
                  </w:r>
                  <w:r w:rsidR="00B612DE">
                    <w:t xml:space="preserve">Department of </w:t>
                  </w:r>
                  <w:proofErr w:type="gramStart"/>
                  <w:r w:rsidR="00B612DE">
                    <w:t>Transport</w:t>
                  </w:r>
                  <w:r>
                    <w:t xml:space="preserve">  </w:t>
                  </w:r>
                  <w:r w:rsidR="009A3C43">
                    <w:t>October</w:t>
                  </w:r>
                  <w:proofErr w:type="gramEnd"/>
                  <w:r w:rsidR="009A3C43">
                    <w:t xml:space="preserve"> 2019</w:t>
                  </w:r>
                </w:p>
                <w:p w14:paraId="0164F46B" w14:textId="77777777" w:rsidR="00411692" w:rsidRDefault="00411692" w:rsidP="00FB794C">
                  <w:pPr>
                    <w:jc w:val="right"/>
                  </w:pPr>
                  <w:r>
                    <w:t>Section 306 (Page 4</w:t>
                  </w:r>
                  <w:r w:rsidR="00AD4F9C">
                    <w:t xml:space="preserve"> of 7)</w:t>
                  </w:r>
                </w:p>
              </w:txbxContent>
            </v:textbox>
            <w10:wrap anchorx="page" anchory="page"/>
            <w10:anchorlock/>
          </v:shape>
        </w:pict>
      </w:r>
      <w:r w:rsidR="00DC2BDB">
        <w:rPr>
          <w:b/>
          <w:lang w:val="en-AU"/>
        </w:rPr>
        <w:br w:type="page"/>
      </w:r>
    </w:p>
    <w:p w14:paraId="0C0FF0B6" w14:textId="77777777" w:rsidR="00DC2BDB" w:rsidRDefault="00DC2BDB" w:rsidP="005D3839">
      <w:pPr>
        <w:pStyle w:val="Heading3SS"/>
      </w:pPr>
      <w:r>
        <w:t>306.09</w:t>
      </w:r>
      <w:r>
        <w:tab/>
        <w:t>COMPACTION PROCEDURE AND REQUIREM</w:t>
      </w:r>
      <w:r w:rsidR="00DB1428">
        <w:t>ENTS FOR TESTING AND ACCEPTANCE</w:t>
      </w:r>
    </w:p>
    <w:p w14:paraId="5A922C4A" w14:textId="77777777" w:rsidR="00DC2BDB" w:rsidRDefault="00DC2BDB">
      <w:pPr>
        <w:rPr>
          <w:lang w:val="en-AU"/>
        </w:rPr>
      </w:pPr>
    </w:p>
    <w:p w14:paraId="34B9F93C" w14:textId="77777777" w:rsidR="00DC2BDB" w:rsidRDefault="00DC2BDB" w:rsidP="00614435">
      <w:pPr>
        <w:pStyle w:val="Heading5SS"/>
      </w:pPr>
      <w:r>
        <w:t>(a)</w:t>
      </w:r>
      <w:r>
        <w:tab/>
        <w:t>General</w:t>
      </w:r>
    </w:p>
    <w:p w14:paraId="5D9B5148" w14:textId="77777777" w:rsidR="00DC2BDB" w:rsidRDefault="00DC2BDB" w:rsidP="00897B1A">
      <w:pPr>
        <w:spacing w:before="160"/>
        <w:ind w:left="454"/>
        <w:rPr>
          <w:lang w:val="en-AU"/>
        </w:rPr>
      </w:pPr>
      <w:r>
        <w:rPr>
          <w:lang w:val="en-AU"/>
        </w:rPr>
        <w:t>The cementitious treated subbase material shall be placed, trimmed to level and fully compacted within the maximum allowable working time specified in Table 306.091 depending on the binder type and the time of year the subbase is being placed.</w:t>
      </w:r>
    </w:p>
    <w:p w14:paraId="2A8A12DF" w14:textId="77777777" w:rsidR="00DC2BDB" w:rsidRDefault="00D61ADF" w:rsidP="00897B1A">
      <w:pPr>
        <w:tabs>
          <w:tab w:val="left" w:pos="454"/>
        </w:tabs>
        <w:spacing w:before="160"/>
        <w:ind w:left="454" w:hanging="1021"/>
        <w:rPr>
          <w:lang w:val="en-AU"/>
        </w:rPr>
      </w:pPr>
      <w:r>
        <w:rPr>
          <w:b/>
          <w:lang w:val="en-AU"/>
        </w:rPr>
        <w:t>HP</w:t>
      </w:r>
      <w:r w:rsidR="00DC2BDB">
        <w:rPr>
          <w:b/>
          <w:lang w:val="en-AU"/>
        </w:rPr>
        <w:tab/>
        <w:t>If the Contractor proposes to use an alternative cementitous binder to those included</w:t>
      </w:r>
      <w:r w:rsidR="00553D99">
        <w:rPr>
          <w:b/>
          <w:lang w:val="en-AU"/>
        </w:rPr>
        <w:t xml:space="preserve"> in Table </w:t>
      </w:r>
      <w:r w:rsidR="00DC2BDB">
        <w:rPr>
          <w:b/>
          <w:lang w:val="en-AU"/>
        </w:rPr>
        <w:t>306.091, laboratory test results shall be produced to the Superintendent showing that the binder satisfies the required working time determined in accordance with the VicRoads Test Method.  In addition, the cementitious treated material using the alternative binder shall meet specified strength requirements.</w:t>
      </w:r>
    </w:p>
    <w:p w14:paraId="0E02B514" w14:textId="77777777" w:rsidR="00897B1A" w:rsidRPr="00897B1A" w:rsidRDefault="00897B1A" w:rsidP="004C0F19">
      <w:pPr>
        <w:spacing w:before="160" w:after="60"/>
        <w:ind w:left="142"/>
        <w:rPr>
          <w:b/>
        </w:rPr>
      </w:pPr>
      <w:r w:rsidRPr="00897B1A">
        <w:rPr>
          <w:b/>
        </w:rPr>
        <w:t xml:space="preserve">Table </w:t>
      </w:r>
      <w:proofErr w:type="gramStart"/>
      <w:r w:rsidRPr="00897B1A">
        <w:rPr>
          <w:b/>
        </w:rPr>
        <w:t>306.091  Maximum</w:t>
      </w:r>
      <w:proofErr w:type="gramEnd"/>
      <w:r w:rsidRPr="00897B1A">
        <w:rPr>
          <w:b/>
        </w:rPr>
        <w:t xml:space="preserve"> Allowable Working Time after Mixing for Common Cementitious Binders</w:t>
      </w:r>
    </w:p>
    <w:tbl>
      <w:tblPr>
        <w:tblW w:w="0" w:type="auto"/>
        <w:tblInd w:w="227" w:type="dxa"/>
        <w:tblLayout w:type="fixed"/>
        <w:tblCellMar>
          <w:top w:w="102" w:type="dxa"/>
          <w:left w:w="86" w:type="dxa"/>
          <w:bottom w:w="11" w:type="dxa"/>
          <w:right w:w="86" w:type="dxa"/>
        </w:tblCellMar>
        <w:tblLook w:val="0000" w:firstRow="0" w:lastRow="0" w:firstColumn="0" w:lastColumn="0" w:noHBand="0" w:noVBand="0"/>
      </w:tblPr>
      <w:tblGrid>
        <w:gridCol w:w="6210"/>
        <w:gridCol w:w="1701"/>
        <w:gridCol w:w="1701"/>
      </w:tblGrid>
      <w:tr w:rsidR="00897B1A" w:rsidRPr="00496A02" w14:paraId="14F7D01C" w14:textId="77777777" w:rsidTr="00897B1A">
        <w:trPr>
          <w:cantSplit/>
        </w:trPr>
        <w:tc>
          <w:tcPr>
            <w:tcW w:w="6210" w:type="dxa"/>
            <w:vMerge w:val="restart"/>
            <w:tcBorders>
              <w:top w:val="single" w:sz="12" w:space="0" w:color="auto"/>
              <w:left w:val="single" w:sz="12" w:space="0" w:color="auto"/>
              <w:right w:val="single" w:sz="8" w:space="0" w:color="auto"/>
            </w:tcBorders>
            <w:vAlign w:val="center"/>
          </w:tcPr>
          <w:p w14:paraId="18E97F5C" w14:textId="77777777" w:rsidR="00897B1A" w:rsidRPr="00496A02" w:rsidRDefault="00897B1A" w:rsidP="007E63F5">
            <w:pPr>
              <w:spacing w:after="72"/>
              <w:jc w:val="center"/>
              <w:rPr>
                <w:b/>
                <w:lang w:val="en-AU"/>
              </w:rPr>
            </w:pPr>
            <w:r w:rsidRPr="00496A02">
              <w:rPr>
                <w:b/>
                <w:lang w:val="en-AU"/>
              </w:rPr>
              <w:t>Cementitious Binder</w:t>
            </w:r>
          </w:p>
        </w:tc>
        <w:tc>
          <w:tcPr>
            <w:tcW w:w="3402" w:type="dxa"/>
            <w:gridSpan w:val="2"/>
            <w:tcBorders>
              <w:top w:val="single" w:sz="12" w:space="0" w:color="auto"/>
              <w:left w:val="single" w:sz="8" w:space="0" w:color="auto"/>
              <w:bottom w:val="single" w:sz="8" w:space="0" w:color="auto"/>
              <w:right w:val="single" w:sz="12" w:space="0" w:color="auto"/>
            </w:tcBorders>
            <w:tcMar>
              <w:bottom w:w="45" w:type="dxa"/>
            </w:tcMar>
            <w:vAlign w:val="center"/>
          </w:tcPr>
          <w:p w14:paraId="50C79DA6" w14:textId="77777777" w:rsidR="00897B1A" w:rsidRPr="00496A02" w:rsidRDefault="00897B1A" w:rsidP="007E63F5">
            <w:pPr>
              <w:jc w:val="center"/>
              <w:rPr>
                <w:b/>
                <w:lang w:val="en-AU"/>
              </w:rPr>
            </w:pPr>
            <w:r w:rsidRPr="00496A02">
              <w:rPr>
                <w:b/>
                <w:lang w:val="en-AU"/>
              </w:rPr>
              <w:t>Maximum Allowable Working Time (hours)</w:t>
            </w:r>
          </w:p>
        </w:tc>
      </w:tr>
      <w:tr w:rsidR="00897B1A" w:rsidRPr="00496A02" w14:paraId="57F024BE" w14:textId="77777777" w:rsidTr="00897B1A">
        <w:trPr>
          <w:cantSplit/>
        </w:trPr>
        <w:tc>
          <w:tcPr>
            <w:tcW w:w="6210" w:type="dxa"/>
            <w:vMerge/>
            <w:tcBorders>
              <w:left w:val="single" w:sz="12" w:space="0" w:color="auto"/>
              <w:bottom w:val="single" w:sz="12" w:space="0" w:color="auto"/>
              <w:right w:val="single" w:sz="8" w:space="0" w:color="auto"/>
            </w:tcBorders>
            <w:vAlign w:val="center"/>
          </w:tcPr>
          <w:p w14:paraId="01F77DBE" w14:textId="77777777" w:rsidR="00897B1A" w:rsidRPr="00496A02" w:rsidRDefault="00897B1A" w:rsidP="007E63F5">
            <w:pPr>
              <w:spacing w:after="72"/>
              <w:jc w:val="center"/>
              <w:rPr>
                <w:b/>
                <w:lang w:val="en-AU"/>
              </w:rPr>
            </w:pPr>
          </w:p>
        </w:tc>
        <w:tc>
          <w:tcPr>
            <w:tcW w:w="1701" w:type="dxa"/>
            <w:tcBorders>
              <w:top w:val="single" w:sz="8" w:space="0" w:color="auto"/>
              <w:left w:val="single" w:sz="8" w:space="0" w:color="auto"/>
              <w:bottom w:val="single" w:sz="12" w:space="0" w:color="auto"/>
              <w:right w:val="single" w:sz="8" w:space="0" w:color="auto"/>
            </w:tcBorders>
            <w:tcMar>
              <w:top w:w="85" w:type="dxa"/>
              <w:bottom w:w="34" w:type="dxa"/>
            </w:tcMar>
            <w:vAlign w:val="center"/>
          </w:tcPr>
          <w:p w14:paraId="0E9FA503" w14:textId="77777777" w:rsidR="00897B1A" w:rsidRPr="00496A02" w:rsidRDefault="00897B1A" w:rsidP="007E63F5">
            <w:pPr>
              <w:jc w:val="center"/>
              <w:rPr>
                <w:b/>
                <w:lang w:val="en-AU"/>
              </w:rPr>
            </w:pPr>
            <w:r w:rsidRPr="00496A02">
              <w:rPr>
                <w:b/>
                <w:lang w:val="en-AU"/>
              </w:rPr>
              <w:t>Construction between October and April  </w:t>
            </w:r>
            <w:r w:rsidRPr="00496A02">
              <w:rPr>
                <w:b/>
                <w:vertAlign w:val="subscript"/>
                <w:lang w:val="en-AU"/>
              </w:rPr>
              <w:t>(1)</w:t>
            </w:r>
          </w:p>
        </w:tc>
        <w:tc>
          <w:tcPr>
            <w:tcW w:w="1701" w:type="dxa"/>
            <w:tcBorders>
              <w:top w:val="single" w:sz="8" w:space="0" w:color="auto"/>
              <w:left w:val="single" w:sz="8" w:space="0" w:color="auto"/>
              <w:bottom w:val="single" w:sz="12" w:space="0" w:color="auto"/>
              <w:right w:val="single" w:sz="12" w:space="0" w:color="auto"/>
            </w:tcBorders>
            <w:tcMar>
              <w:top w:w="85" w:type="dxa"/>
              <w:bottom w:w="34" w:type="dxa"/>
            </w:tcMar>
            <w:vAlign w:val="center"/>
          </w:tcPr>
          <w:p w14:paraId="1D8A2668" w14:textId="77777777" w:rsidR="00897B1A" w:rsidRPr="00496A02" w:rsidRDefault="00897B1A" w:rsidP="007E63F5">
            <w:pPr>
              <w:jc w:val="center"/>
              <w:rPr>
                <w:b/>
                <w:lang w:val="en-AU"/>
              </w:rPr>
            </w:pPr>
            <w:r w:rsidRPr="00496A02">
              <w:rPr>
                <w:b/>
                <w:lang w:val="en-AU"/>
              </w:rPr>
              <w:t>Construction between May and September</w:t>
            </w:r>
          </w:p>
        </w:tc>
      </w:tr>
      <w:tr w:rsidR="00897B1A" w14:paraId="10790045" w14:textId="77777777" w:rsidTr="00897B1A">
        <w:trPr>
          <w:cantSplit/>
        </w:trPr>
        <w:tc>
          <w:tcPr>
            <w:tcW w:w="6210" w:type="dxa"/>
            <w:tcBorders>
              <w:top w:val="single" w:sz="12" w:space="0" w:color="auto"/>
              <w:left w:val="single" w:sz="12" w:space="0" w:color="auto"/>
              <w:bottom w:val="single" w:sz="8" w:space="0" w:color="auto"/>
              <w:right w:val="single" w:sz="8" w:space="0" w:color="auto"/>
            </w:tcBorders>
          </w:tcPr>
          <w:p w14:paraId="32BE795F" w14:textId="77777777" w:rsidR="00897B1A" w:rsidRDefault="00897B1A" w:rsidP="007E63F5">
            <w:pPr>
              <w:spacing w:after="80"/>
              <w:rPr>
                <w:b/>
                <w:lang w:val="en-AU"/>
              </w:rPr>
            </w:pPr>
            <w:r>
              <w:rPr>
                <w:b/>
                <w:lang w:val="en-AU"/>
              </w:rPr>
              <w:t>Rapid Setting</w:t>
            </w:r>
          </w:p>
          <w:p w14:paraId="5042FE03" w14:textId="77777777" w:rsidR="00897B1A" w:rsidRDefault="00897B1A" w:rsidP="007E63F5">
            <w:pPr>
              <w:spacing w:after="43"/>
              <w:rPr>
                <w:lang w:val="en-AU"/>
              </w:rPr>
            </w:pPr>
            <w:r>
              <w:rPr>
                <w:lang w:val="en-AU"/>
              </w:rPr>
              <w:t>Type GP Cement</w:t>
            </w:r>
          </w:p>
        </w:tc>
        <w:tc>
          <w:tcPr>
            <w:tcW w:w="1701" w:type="dxa"/>
            <w:tcBorders>
              <w:top w:val="single" w:sz="12" w:space="0" w:color="auto"/>
              <w:left w:val="single" w:sz="8" w:space="0" w:color="auto"/>
              <w:bottom w:val="single" w:sz="8" w:space="0" w:color="auto"/>
              <w:right w:val="single" w:sz="8" w:space="0" w:color="auto"/>
            </w:tcBorders>
            <w:vAlign w:val="center"/>
          </w:tcPr>
          <w:p w14:paraId="3517A463" w14:textId="77777777" w:rsidR="00897B1A" w:rsidRDefault="00897B1A" w:rsidP="007E63F5">
            <w:pPr>
              <w:spacing w:after="43"/>
              <w:jc w:val="center"/>
              <w:rPr>
                <w:lang w:val="en-AU"/>
              </w:rPr>
            </w:pPr>
            <w:r>
              <w:rPr>
                <w:lang w:val="en-AU"/>
              </w:rPr>
              <w:t>2</w:t>
            </w:r>
          </w:p>
        </w:tc>
        <w:tc>
          <w:tcPr>
            <w:tcW w:w="1701" w:type="dxa"/>
            <w:tcBorders>
              <w:top w:val="single" w:sz="12" w:space="0" w:color="auto"/>
              <w:left w:val="single" w:sz="8" w:space="0" w:color="auto"/>
              <w:bottom w:val="single" w:sz="8" w:space="0" w:color="auto"/>
              <w:right w:val="single" w:sz="12" w:space="0" w:color="auto"/>
            </w:tcBorders>
            <w:vAlign w:val="center"/>
          </w:tcPr>
          <w:p w14:paraId="670A47FF" w14:textId="77777777" w:rsidR="00897B1A" w:rsidRDefault="00897B1A" w:rsidP="007E63F5">
            <w:pPr>
              <w:spacing w:after="43"/>
              <w:jc w:val="center"/>
              <w:rPr>
                <w:lang w:val="en-AU"/>
              </w:rPr>
            </w:pPr>
            <w:r>
              <w:rPr>
                <w:lang w:val="en-AU"/>
              </w:rPr>
              <w:t>3</w:t>
            </w:r>
          </w:p>
        </w:tc>
      </w:tr>
      <w:tr w:rsidR="00897B1A" w14:paraId="10D27AE3" w14:textId="77777777" w:rsidTr="00897B1A">
        <w:trPr>
          <w:cantSplit/>
        </w:trPr>
        <w:tc>
          <w:tcPr>
            <w:tcW w:w="6210" w:type="dxa"/>
            <w:tcBorders>
              <w:top w:val="single" w:sz="8" w:space="0" w:color="auto"/>
              <w:left w:val="single" w:sz="12" w:space="0" w:color="auto"/>
              <w:bottom w:val="single" w:sz="8" w:space="0" w:color="auto"/>
              <w:right w:val="single" w:sz="8" w:space="0" w:color="auto"/>
            </w:tcBorders>
          </w:tcPr>
          <w:p w14:paraId="0D0C097F" w14:textId="77777777" w:rsidR="00897B1A" w:rsidRDefault="00897B1A" w:rsidP="007E63F5">
            <w:pPr>
              <w:spacing w:after="80"/>
              <w:rPr>
                <w:b/>
                <w:lang w:val="en-AU"/>
              </w:rPr>
            </w:pPr>
            <w:r>
              <w:rPr>
                <w:b/>
                <w:lang w:val="en-AU"/>
              </w:rPr>
              <w:t>Medium Setting</w:t>
            </w:r>
          </w:p>
          <w:p w14:paraId="21D509FB" w14:textId="77777777" w:rsidR="00897B1A" w:rsidRDefault="00897B1A" w:rsidP="007E63F5">
            <w:pPr>
              <w:rPr>
                <w:lang w:val="en-AU"/>
              </w:rPr>
            </w:pPr>
            <w:r>
              <w:rPr>
                <w:lang w:val="en-AU"/>
              </w:rPr>
              <w:t>Type GB Cements</w:t>
            </w:r>
          </w:p>
          <w:p w14:paraId="04ECA88C" w14:textId="77777777" w:rsidR="00897B1A" w:rsidRDefault="00897B1A" w:rsidP="007E63F5">
            <w:pPr>
              <w:spacing w:before="60"/>
              <w:rPr>
                <w:lang w:val="en-AU"/>
              </w:rPr>
            </w:pPr>
            <w:r>
              <w:rPr>
                <w:lang w:val="en-AU"/>
              </w:rPr>
              <w:t>Cement/Slag blend (50% to 60% cement content)</w:t>
            </w:r>
          </w:p>
          <w:p w14:paraId="060AA57B" w14:textId="77777777" w:rsidR="00897B1A" w:rsidRDefault="00897B1A" w:rsidP="007E63F5">
            <w:pPr>
              <w:spacing w:before="60"/>
              <w:rPr>
                <w:lang w:val="en-AU"/>
              </w:rPr>
            </w:pPr>
            <w:r>
              <w:rPr>
                <w:lang w:val="en-AU"/>
              </w:rPr>
              <w:t>Cement/Fly ash blend (70% to 80% cement content)</w:t>
            </w:r>
          </w:p>
          <w:p w14:paraId="617B1003" w14:textId="77777777" w:rsidR="00897B1A" w:rsidRDefault="00897B1A" w:rsidP="007E63F5">
            <w:pPr>
              <w:spacing w:before="60" w:after="43"/>
              <w:rPr>
                <w:lang w:val="en-AU"/>
              </w:rPr>
            </w:pPr>
            <w:r>
              <w:rPr>
                <w:lang w:val="en-AU"/>
              </w:rPr>
              <w:t>Cement/Slag/Fly ash blend (55% to 65% cement content)</w:t>
            </w:r>
          </w:p>
        </w:tc>
        <w:tc>
          <w:tcPr>
            <w:tcW w:w="1701" w:type="dxa"/>
            <w:tcBorders>
              <w:top w:val="single" w:sz="8" w:space="0" w:color="auto"/>
              <w:left w:val="single" w:sz="8" w:space="0" w:color="auto"/>
              <w:bottom w:val="single" w:sz="8" w:space="0" w:color="auto"/>
              <w:right w:val="single" w:sz="8" w:space="0" w:color="auto"/>
            </w:tcBorders>
            <w:vAlign w:val="center"/>
          </w:tcPr>
          <w:p w14:paraId="492222FF" w14:textId="77777777" w:rsidR="00897B1A" w:rsidRDefault="00897B1A" w:rsidP="007E63F5">
            <w:pPr>
              <w:spacing w:after="43"/>
              <w:jc w:val="center"/>
              <w:rPr>
                <w:lang w:val="en-AU"/>
              </w:rPr>
            </w:pPr>
            <w:r>
              <w:rPr>
                <w:lang w:val="en-AU"/>
              </w:rPr>
              <w:t>3</w:t>
            </w:r>
          </w:p>
        </w:tc>
        <w:tc>
          <w:tcPr>
            <w:tcW w:w="1701" w:type="dxa"/>
            <w:tcBorders>
              <w:top w:val="single" w:sz="8" w:space="0" w:color="auto"/>
              <w:left w:val="single" w:sz="8" w:space="0" w:color="auto"/>
              <w:bottom w:val="single" w:sz="8" w:space="0" w:color="auto"/>
              <w:right w:val="single" w:sz="12" w:space="0" w:color="auto"/>
            </w:tcBorders>
            <w:vAlign w:val="center"/>
          </w:tcPr>
          <w:p w14:paraId="3DA57DA8" w14:textId="77777777" w:rsidR="00897B1A" w:rsidRDefault="00897B1A" w:rsidP="007E63F5">
            <w:pPr>
              <w:spacing w:after="43"/>
              <w:jc w:val="center"/>
              <w:rPr>
                <w:lang w:val="en-AU"/>
              </w:rPr>
            </w:pPr>
            <w:r>
              <w:rPr>
                <w:lang w:val="en-AU"/>
              </w:rPr>
              <w:t>5</w:t>
            </w:r>
          </w:p>
        </w:tc>
      </w:tr>
      <w:tr w:rsidR="00897B1A" w14:paraId="359FB5B4" w14:textId="77777777" w:rsidTr="00897B1A">
        <w:trPr>
          <w:cantSplit/>
        </w:trPr>
        <w:tc>
          <w:tcPr>
            <w:tcW w:w="6210" w:type="dxa"/>
            <w:tcBorders>
              <w:top w:val="single" w:sz="8" w:space="0" w:color="auto"/>
              <w:left w:val="single" w:sz="12" w:space="0" w:color="auto"/>
              <w:bottom w:val="single" w:sz="8" w:space="0" w:color="auto"/>
              <w:right w:val="single" w:sz="8" w:space="0" w:color="auto"/>
            </w:tcBorders>
          </w:tcPr>
          <w:p w14:paraId="75C11CAB" w14:textId="77777777" w:rsidR="00897B1A" w:rsidRDefault="00897B1A" w:rsidP="007E63F5">
            <w:pPr>
              <w:spacing w:after="60"/>
              <w:rPr>
                <w:b/>
                <w:lang w:val="en-AU"/>
              </w:rPr>
            </w:pPr>
            <w:r>
              <w:rPr>
                <w:b/>
                <w:lang w:val="en-AU"/>
              </w:rPr>
              <w:t>Slow Setting</w:t>
            </w:r>
          </w:p>
          <w:p w14:paraId="0C75D3E5" w14:textId="77777777" w:rsidR="00897B1A" w:rsidRDefault="00897B1A" w:rsidP="007E63F5">
            <w:pPr>
              <w:spacing w:after="43"/>
              <w:rPr>
                <w:lang w:val="en-AU"/>
              </w:rPr>
            </w:pPr>
            <w:r>
              <w:rPr>
                <w:lang w:val="en-AU"/>
              </w:rPr>
              <w:t xml:space="preserve">Slag/Lime Blend and other slow setting Supplementary </w:t>
            </w:r>
            <w:proofErr w:type="spellStart"/>
            <w:r>
              <w:rPr>
                <w:lang w:val="en-AU"/>
              </w:rPr>
              <w:t>Cementitous</w:t>
            </w:r>
            <w:proofErr w:type="spellEnd"/>
            <w:r>
              <w:rPr>
                <w:lang w:val="en-AU"/>
              </w:rPr>
              <w:t xml:space="preserve"> Blends</w:t>
            </w:r>
          </w:p>
        </w:tc>
        <w:tc>
          <w:tcPr>
            <w:tcW w:w="1701" w:type="dxa"/>
            <w:tcBorders>
              <w:top w:val="single" w:sz="8" w:space="0" w:color="auto"/>
              <w:left w:val="single" w:sz="8" w:space="0" w:color="auto"/>
              <w:bottom w:val="single" w:sz="8" w:space="0" w:color="auto"/>
              <w:right w:val="single" w:sz="8" w:space="0" w:color="auto"/>
            </w:tcBorders>
            <w:vAlign w:val="center"/>
          </w:tcPr>
          <w:p w14:paraId="1F4EB0C4" w14:textId="77777777" w:rsidR="00897B1A" w:rsidRDefault="00897B1A" w:rsidP="007E63F5">
            <w:pPr>
              <w:spacing w:after="43"/>
              <w:jc w:val="center"/>
              <w:rPr>
                <w:lang w:val="en-AU"/>
              </w:rPr>
            </w:pPr>
            <w:r>
              <w:rPr>
                <w:lang w:val="en-AU"/>
              </w:rPr>
              <w:t>8</w:t>
            </w:r>
          </w:p>
        </w:tc>
        <w:tc>
          <w:tcPr>
            <w:tcW w:w="1701" w:type="dxa"/>
            <w:tcBorders>
              <w:top w:val="single" w:sz="8" w:space="0" w:color="auto"/>
              <w:left w:val="single" w:sz="8" w:space="0" w:color="auto"/>
              <w:bottom w:val="single" w:sz="8" w:space="0" w:color="auto"/>
              <w:right w:val="single" w:sz="12" w:space="0" w:color="auto"/>
            </w:tcBorders>
            <w:vAlign w:val="center"/>
          </w:tcPr>
          <w:p w14:paraId="28E00800" w14:textId="77777777" w:rsidR="00897B1A" w:rsidRDefault="00897B1A" w:rsidP="007E63F5">
            <w:pPr>
              <w:spacing w:after="43"/>
              <w:jc w:val="center"/>
              <w:rPr>
                <w:lang w:val="en-AU"/>
              </w:rPr>
            </w:pPr>
            <w:r>
              <w:rPr>
                <w:lang w:val="en-AU"/>
              </w:rPr>
              <w:t>12</w:t>
            </w:r>
          </w:p>
        </w:tc>
      </w:tr>
      <w:tr w:rsidR="00897B1A" w14:paraId="6C397765" w14:textId="77777777" w:rsidTr="00897B1A">
        <w:trPr>
          <w:cantSplit/>
        </w:trPr>
        <w:tc>
          <w:tcPr>
            <w:tcW w:w="9612" w:type="dxa"/>
            <w:gridSpan w:val="3"/>
            <w:tcBorders>
              <w:top w:val="single" w:sz="8" w:space="0" w:color="auto"/>
              <w:left w:val="single" w:sz="12" w:space="0" w:color="auto"/>
              <w:bottom w:val="single" w:sz="12" w:space="0" w:color="auto"/>
              <w:right w:val="single" w:sz="12" w:space="0" w:color="auto"/>
            </w:tcBorders>
          </w:tcPr>
          <w:p w14:paraId="4B0A7BBA" w14:textId="77777777" w:rsidR="00897B1A" w:rsidRDefault="00897B1A" w:rsidP="007E63F5">
            <w:pPr>
              <w:spacing w:after="43"/>
              <w:rPr>
                <w:lang w:val="en-AU"/>
              </w:rPr>
            </w:pPr>
            <w:r w:rsidRPr="00496A02">
              <w:rPr>
                <w:b/>
                <w:lang w:val="en-AU"/>
              </w:rPr>
              <w:t>Note 1:</w:t>
            </w:r>
            <w:r>
              <w:rPr>
                <w:b/>
                <w:lang w:val="en-AU"/>
              </w:rPr>
              <w:t xml:space="preserve">   </w:t>
            </w:r>
            <w:r>
              <w:rPr>
                <w:lang w:val="en-AU"/>
              </w:rPr>
              <w:t>If the ambient temperature within the period from October to April on any day is less than 15</w:t>
            </w:r>
            <w:r>
              <w:rPr>
                <w:lang w:val="en-AU"/>
              </w:rPr>
              <w:sym w:font="Symbol" w:char="F0B0"/>
            </w:r>
            <w:r>
              <w:rPr>
                <w:lang w:val="en-AU"/>
              </w:rPr>
              <w:t>C, the May to September maximum allowable working times may be applied.</w:t>
            </w:r>
          </w:p>
        </w:tc>
      </w:tr>
    </w:tbl>
    <w:p w14:paraId="73A63BF3" w14:textId="77777777" w:rsidR="00897B1A" w:rsidRDefault="00897B1A" w:rsidP="00D77EEC">
      <w:pPr>
        <w:spacing w:before="300"/>
        <w:ind w:left="454"/>
        <w:rPr>
          <w:lang w:val="en-AU"/>
        </w:rPr>
      </w:pPr>
      <w:r>
        <w:rPr>
          <w:lang w:val="en-AU"/>
        </w:rPr>
        <w:t>On completion of compaction, any segregated areas shall be rectified.</w:t>
      </w:r>
    </w:p>
    <w:p w14:paraId="4B56C699" w14:textId="77777777" w:rsidR="00897B1A" w:rsidRDefault="00897B1A" w:rsidP="00D77EEC">
      <w:pPr>
        <w:spacing w:before="160"/>
        <w:ind w:left="454"/>
        <w:rPr>
          <w:lang w:val="en-AU"/>
        </w:rPr>
      </w:pPr>
      <w:r>
        <w:rPr>
          <w:lang w:val="en-AU"/>
        </w:rPr>
        <w:t>The calculation of density ratio shall be based on Modified compactive effort.</w:t>
      </w:r>
    </w:p>
    <w:p w14:paraId="5B0DB605" w14:textId="77777777" w:rsidR="00D77EEC" w:rsidRDefault="00D77EEC" w:rsidP="00D77EEC">
      <w:pPr>
        <w:spacing w:before="160"/>
        <w:ind w:left="454"/>
        <w:rPr>
          <w:lang w:val="en-AU"/>
        </w:rPr>
      </w:pPr>
      <w:r>
        <w:rPr>
          <w:lang w:val="en-AU"/>
        </w:rPr>
        <w:t>The work shall be assessed for compliance with Scale A or Scale B requirements for testing and acceptance of compaction as specified in Clause 306.12 and as provided in Clauses 306.09(b) and (c).</w:t>
      </w:r>
    </w:p>
    <w:p w14:paraId="380CC0DF" w14:textId="77777777" w:rsidR="00D77EEC" w:rsidRDefault="00D77EEC" w:rsidP="00D77EEC">
      <w:pPr>
        <w:spacing w:before="160"/>
        <w:ind w:left="454"/>
        <w:rPr>
          <w:lang w:val="en-AU"/>
        </w:rPr>
      </w:pPr>
      <w:r>
        <w:rPr>
          <w:lang w:val="en-AU"/>
        </w:rPr>
        <w:t>For work to be tested for compliance with Scale A requirements, the number of tests per lot shall be six.</w:t>
      </w:r>
    </w:p>
    <w:p w14:paraId="5C5009CB" w14:textId="77777777" w:rsidR="00D77EEC" w:rsidRDefault="00D77EEC" w:rsidP="00D77EEC">
      <w:pPr>
        <w:spacing w:before="160"/>
        <w:ind w:left="454"/>
        <w:rPr>
          <w:lang w:val="en-AU"/>
        </w:rPr>
      </w:pPr>
      <w:r>
        <w:rPr>
          <w:lang w:val="en-AU"/>
        </w:rPr>
        <w:t>For work to be tested for compliance with Scale B requirements, the number of tests per lot shall be three.</w:t>
      </w:r>
    </w:p>
    <w:p w14:paraId="0594A856" w14:textId="77777777" w:rsidR="00D77EEC" w:rsidRDefault="00D77EEC" w:rsidP="00D77EEC">
      <w:pPr>
        <w:spacing w:before="160"/>
        <w:ind w:left="454"/>
        <w:rPr>
          <w:lang w:val="en-AU"/>
        </w:rPr>
      </w:pPr>
      <w:r>
        <w:rPr>
          <w:lang w:val="en-AU"/>
        </w:rPr>
        <w:t>A lot shall consist of a single layer of pavement material placed on the same day and all lots shall be tested for compliance with the requirements of this section.  The maximum lot size shall not exceed 4000 m</w:t>
      </w:r>
      <w:r>
        <w:rPr>
          <w:vertAlign w:val="superscript"/>
          <w:lang w:val="en-AU"/>
        </w:rPr>
        <w:t>2</w:t>
      </w:r>
      <w:r>
        <w:rPr>
          <w:lang w:val="en-AU"/>
        </w:rPr>
        <w:t>.</w:t>
      </w:r>
    </w:p>
    <w:p w14:paraId="330A9AD3" w14:textId="77777777" w:rsidR="00D77EEC" w:rsidRDefault="00D77EEC" w:rsidP="00D77EEC">
      <w:pPr>
        <w:rPr>
          <w:lang w:val="en-AU"/>
        </w:rPr>
      </w:pPr>
    </w:p>
    <w:p w14:paraId="38E2513E" w14:textId="77777777" w:rsidR="00D77EEC" w:rsidRDefault="00D77EEC" w:rsidP="00D77EEC">
      <w:pPr>
        <w:pStyle w:val="Heading5SS"/>
      </w:pPr>
      <w:r>
        <w:t>(b)</w:t>
      </w:r>
      <w:r>
        <w:tab/>
        <w:t>Scale A Requirements for Testing and Acceptance of Compaction</w:t>
      </w:r>
    </w:p>
    <w:p w14:paraId="5D538107" w14:textId="77777777" w:rsidR="00D77EEC" w:rsidRDefault="00D77EEC" w:rsidP="006E7C90">
      <w:pPr>
        <w:spacing w:before="160"/>
        <w:ind w:left="454"/>
        <w:rPr>
          <w:lang w:val="en-AU"/>
        </w:rPr>
      </w:pPr>
      <w:r>
        <w:rPr>
          <w:lang w:val="en-AU"/>
        </w:rPr>
        <w:t>The work represented by the lot will be accepted as far as compaction is concerned if the characteristic value of density ratio of the lot is not less than 96% .</w:t>
      </w:r>
    </w:p>
    <w:p w14:paraId="6789CAA6" w14:textId="77777777" w:rsidR="00DC2BDB" w:rsidRDefault="00B612DE" w:rsidP="009074EE">
      <w:pPr>
        <w:rPr>
          <w:lang w:val="en-AU"/>
        </w:rPr>
      </w:pPr>
      <w:r>
        <w:rPr>
          <w:noProof/>
          <w:snapToGrid/>
          <w:lang w:val="en-AU" w:eastAsia="en-AU"/>
        </w:rPr>
        <w:pict w14:anchorId="3D66B405">
          <v:shape id="_x0000_s1052" type="#_x0000_t202" style="position:absolute;margin-left:0;margin-top:779.65pt;width:481.9pt;height:36.85pt;z-index:-251657728;mso-wrap-distance-top:5.65pt;mso-position-horizontal:center;mso-position-horizontal-relative:page;mso-position-vertical-relative:page" stroked="f">
            <v:textbox style="mso-next-textbox:#_x0000_s1052" inset="0,,0">
              <w:txbxContent>
                <w:p w14:paraId="63E5B2FF" w14:textId="77777777" w:rsidR="00411692" w:rsidRDefault="00411692" w:rsidP="00375C44">
                  <w:pPr>
                    <w:pBdr>
                      <w:top w:val="single" w:sz="6" w:space="1" w:color="000000"/>
                    </w:pBdr>
                    <w:spacing w:line="60" w:lineRule="exact"/>
                    <w:jc w:val="right"/>
                    <w:rPr>
                      <w:b/>
                    </w:rPr>
                  </w:pPr>
                </w:p>
                <w:p w14:paraId="7E10CA8B" w14:textId="67DCE015" w:rsidR="00411692" w:rsidRDefault="00411692" w:rsidP="00375C44">
                  <w:pPr>
                    <w:pBdr>
                      <w:top w:val="single" w:sz="6" w:space="1" w:color="000000"/>
                    </w:pBdr>
                    <w:jc w:val="right"/>
                  </w:pPr>
                  <w:r>
                    <w:rPr>
                      <w:b/>
                    </w:rPr>
                    <w:t>©</w:t>
                  </w:r>
                  <w:r>
                    <w:t xml:space="preserve"> </w:t>
                  </w:r>
                  <w:r w:rsidR="00B612DE">
                    <w:t xml:space="preserve">Department of </w:t>
                  </w:r>
                  <w:proofErr w:type="gramStart"/>
                  <w:r w:rsidR="00B612DE">
                    <w:t>Transport</w:t>
                  </w:r>
                  <w:r>
                    <w:t xml:space="preserve">  </w:t>
                  </w:r>
                  <w:r w:rsidR="009A3C43">
                    <w:t>October</w:t>
                  </w:r>
                  <w:proofErr w:type="gramEnd"/>
                  <w:r w:rsidR="009A3C43">
                    <w:t xml:space="preserve"> 2019</w:t>
                  </w:r>
                </w:p>
                <w:p w14:paraId="65374036" w14:textId="77777777" w:rsidR="00411692" w:rsidRDefault="00411692" w:rsidP="00375C44">
                  <w:pPr>
                    <w:jc w:val="right"/>
                  </w:pPr>
                  <w:r>
                    <w:t>Section 306 (Page 5</w:t>
                  </w:r>
                  <w:r w:rsidR="00AD4F9C">
                    <w:t xml:space="preserve"> of 7)</w:t>
                  </w:r>
                </w:p>
                <w:p w14:paraId="13A7526D" w14:textId="77777777" w:rsidR="00411692" w:rsidRDefault="00411692" w:rsidP="00375C44"/>
              </w:txbxContent>
            </v:textbox>
            <w10:wrap anchorx="page" anchory="page"/>
            <w10:anchorlock/>
          </v:shape>
        </w:pict>
      </w:r>
      <w:r w:rsidR="00B53EF9">
        <w:br w:type="page"/>
      </w:r>
    </w:p>
    <w:p w14:paraId="2C302BBB" w14:textId="77777777" w:rsidR="00DC2BDB" w:rsidRDefault="00DC2BDB" w:rsidP="009074EE">
      <w:pPr>
        <w:tabs>
          <w:tab w:val="left" w:pos="454"/>
        </w:tabs>
        <w:ind w:left="454" w:hanging="454"/>
        <w:rPr>
          <w:lang w:val="en-AU"/>
        </w:rPr>
      </w:pPr>
      <w:r>
        <w:rPr>
          <w:lang w:val="en-AU"/>
        </w:rPr>
        <w:tab/>
        <w:t>If the characteristic value of density ratio of the lot is less than 96.0% but greater than or equal to 92% the work represented by the lot may be accepted but the method of</w:t>
      </w:r>
      <w:r>
        <w:rPr>
          <w:i/>
          <w:lang w:val="en-AU"/>
        </w:rPr>
        <w:t xml:space="preserve"> </w:t>
      </w:r>
      <w:r>
        <w:rPr>
          <w:lang w:val="en-AU"/>
        </w:rPr>
        <w:t xml:space="preserve">rectification or redesign of the pavement shall be </w:t>
      </w:r>
      <w:r w:rsidR="00AB2EF6">
        <w:rPr>
          <w:lang w:val="en-AU"/>
        </w:rPr>
        <w:t>approve</w:t>
      </w:r>
      <w:r>
        <w:rPr>
          <w:lang w:val="en-AU"/>
        </w:rPr>
        <w:t>d by the Superintendent.  Alternatively, the Superintendent may accept the work</w:t>
      </w:r>
      <w:r>
        <w:rPr>
          <w:i/>
          <w:lang w:val="en-AU"/>
        </w:rPr>
        <w:t xml:space="preserve"> </w:t>
      </w:r>
      <w:r>
        <w:rPr>
          <w:lang w:val="en-AU"/>
        </w:rPr>
        <w:t>at a reduced payment calculated using the formula:</w:t>
      </w:r>
    </w:p>
    <w:p w14:paraId="4F0A6E36" w14:textId="77777777" w:rsidR="00DC2BDB" w:rsidRDefault="00DC2BDB">
      <w:pPr>
        <w:spacing w:line="160" w:lineRule="exact"/>
        <w:rPr>
          <w:lang w:val="en-AU"/>
        </w:rPr>
      </w:pPr>
    </w:p>
    <w:p w14:paraId="5E33002E" w14:textId="77777777" w:rsidR="00DC2BDB" w:rsidRPr="00B637F2" w:rsidRDefault="00FF6510" w:rsidP="00B637F2">
      <w:pPr>
        <w:tabs>
          <w:tab w:val="left" w:pos="2835"/>
        </w:tabs>
        <w:rPr>
          <w:sz w:val="28"/>
          <w:szCs w:val="28"/>
          <w:lang w:val="en-AU"/>
        </w:rPr>
      </w:pPr>
      <w:r>
        <w:rPr>
          <w:b/>
          <w:lang w:val="en-AU"/>
        </w:rPr>
        <w:tab/>
      </w:r>
      <w:r w:rsidR="00DC2BDB" w:rsidRPr="00B637F2">
        <w:rPr>
          <w:sz w:val="28"/>
          <w:szCs w:val="28"/>
          <w:lang w:val="en-AU"/>
        </w:rPr>
        <w:t>P  =  4R</w:t>
      </w:r>
      <w:r w:rsidR="00DC2BDB" w:rsidRPr="00B637F2">
        <w:rPr>
          <w:sz w:val="28"/>
          <w:szCs w:val="28"/>
          <w:vertAlign w:val="subscript"/>
          <w:lang w:val="en-AU"/>
        </w:rPr>
        <w:t>c</w:t>
      </w:r>
      <w:r w:rsidR="00DC2BDB" w:rsidRPr="00B637F2">
        <w:rPr>
          <w:sz w:val="28"/>
          <w:szCs w:val="28"/>
          <w:lang w:val="en-AU"/>
        </w:rPr>
        <w:t xml:space="preserve"> </w:t>
      </w:r>
      <w:r w:rsidR="00DC2BDB" w:rsidRPr="00B637F2">
        <w:rPr>
          <w:sz w:val="28"/>
          <w:szCs w:val="28"/>
          <w:lang w:val="en-AU"/>
        </w:rPr>
        <w:noBreakHyphen/>
        <w:t xml:space="preserve"> 284</w:t>
      </w:r>
    </w:p>
    <w:p w14:paraId="659ADA7F" w14:textId="77777777" w:rsidR="00DC2BDB" w:rsidRDefault="00DC2BDB" w:rsidP="009074EE">
      <w:pPr>
        <w:tabs>
          <w:tab w:val="left" w:pos="454"/>
        </w:tabs>
        <w:spacing w:before="180"/>
        <w:ind w:left="454" w:hanging="454"/>
        <w:rPr>
          <w:lang w:val="en-AU"/>
        </w:rPr>
      </w:pPr>
      <w:r>
        <w:rPr>
          <w:lang w:val="en-AU"/>
        </w:rPr>
        <w:tab/>
        <w:t xml:space="preserve">in which </w:t>
      </w:r>
      <w:proofErr w:type="spellStart"/>
      <w:r>
        <w:rPr>
          <w:lang w:val="en-AU"/>
        </w:rPr>
        <w:t>R</w:t>
      </w:r>
      <w:r>
        <w:rPr>
          <w:vertAlign w:val="subscript"/>
          <w:lang w:val="en-AU"/>
        </w:rPr>
        <w:t>c</w:t>
      </w:r>
      <w:proofErr w:type="spellEnd"/>
      <w:r>
        <w:rPr>
          <w:lang w:val="en-AU"/>
        </w:rPr>
        <w:t xml:space="preserve"> is the characteristic value of density ratio of the lot and P is the percentage of the value of work represented by the lot that will be paid provided that the value of P shall not exceed 100.  For the application of this formula, the value of work represented by the lot shall be calculated from the unit rate of payment specified in Clause 306.12(b).</w:t>
      </w:r>
    </w:p>
    <w:p w14:paraId="00BD28A9" w14:textId="77777777" w:rsidR="00DC2BDB" w:rsidRDefault="00DC2BDB" w:rsidP="009074EE">
      <w:pPr>
        <w:tabs>
          <w:tab w:val="left" w:pos="454"/>
        </w:tabs>
        <w:spacing w:before="180"/>
        <w:ind w:left="454" w:hanging="454"/>
        <w:rPr>
          <w:lang w:val="en-AU"/>
        </w:rPr>
      </w:pPr>
      <w:r>
        <w:rPr>
          <w:lang w:val="en-AU"/>
        </w:rPr>
        <w:tab/>
        <w:t>If any small lot less than 500 m</w:t>
      </w:r>
      <w:r>
        <w:rPr>
          <w:vertAlign w:val="superscript"/>
          <w:lang w:val="en-AU"/>
        </w:rPr>
        <w:t xml:space="preserve">2 </w:t>
      </w:r>
      <w:r>
        <w:rPr>
          <w:lang w:val="en-AU"/>
        </w:rPr>
        <w:t>is to be assessed under Section 173 of this specification where only three tests are required to be undertaken and assessed on the basis of meeting a Mean Density Ratio of 98%, the reduced payment</w:t>
      </w:r>
      <w:r w:rsidR="00AB2EF6">
        <w:rPr>
          <w:lang w:val="en-AU"/>
        </w:rPr>
        <w:t xml:space="preserve"> shall be calculated using the </w:t>
      </w:r>
      <w:r>
        <w:rPr>
          <w:lang w:val="en-AU"/>
        </w:rPr>
        <w:t>formula:</w:t>
      </w:r>
    </w:p>
    <w:p w14:paraId="73CD8BCC" w14:textId="77777777" w:rsidR="00DC2BDB" w:rsidRDefault="00DC2BDB">
      <w:pPr>
        <w:spacing w:line="160" w:lineRule="exact"/>
        <w:rPr>
          <w:lang w:val="en-AU"/>
        </w:rPr>
      </w:pPr>
    </w:p>
    <w:p w14:paraId="2F78F7FD" w14:textId="77777777" w:rsidR="00DC2BDB" w:rsidRPr="00B637F2" w:rsidRDefault="00DC2BDB" w:rsidP="00B637F2">
      <w:pPr>
        <w:tabs>
          <w:tab w:val="left" w:pos="2835"/>
        </w:tabs>
        <w:rPr>
          <w:sz w:val="28"/>
          <w:szCs w:val="28"/>
          <w:lang w:val="en-AU"/>
        </w:rPr>
      </w:pPr>
      <w:r>
        <w:rPr>
          <w:lang w:val="en-AU"/>
        </w:rPr>
        <w:tab/>
      </w:r>
      <w:r w:rsidRPr="00B637F2">
        <w:rPr>
          <w:sz w:val="28"/>
          <w:szCs w:val="28"/>
          <w:lang w:val="en-AU"/>
        </w:rPr>
        <w:t>P  =  4R</w:t>
      </w:r>
      <w:r w:rsidRPr="00B637F2">
        <w:rPr>
          <w:bCs/>
          <w:sz w:val="28"/>
          <w:szCs w:val="28"/>
          <w:vertAlign w:val="subscript"/>
          <w:lang w:val="en-AU"/>
        </w:rPr>
        <w:t>m</w:t>
      </w:r>
      <w:r w:rsidRPr="00B637F2">
        <w:rPr>
          <w:sz w:val="28"/>
          <w:szCs w:val="28"/>
          <w:lang w:val="en-AU"/>
        </w:rPr>
        <w:t xml:space="preserve"> - 292</w:t>
      </w:r>
    </w:p>
    <w:p w14:paraId="4ECE730F" w14:textId="77777777" w:rsidR="00DC2BDB" w:rsidRDefault="00DC2BDB" w:rsidP="00217E09">
      <w:pPr>
        <w:spacing w:line="280" w:lineRule="exact"/>
        <w:rPr>
          <w:lang w:val="en-AU"/>
        </w:rPr>
      </w:pPr>
    </w:p>
    <w:p w14:paraId="6120F198" w14:textId="77777777" w:rsidR="00DC2BDB" w:rsidRDefault="00DC2BDB" w:rsidP="00614435">
      <w:pPr>
        <w:pStyle w:val="Heading5SS"/>
      </w:pPr>
      <w:r>
        <w:t>(c)</w:t>
      </w:r>
      <w:r>
        <w:tab/>
        <w:t>Scale B Requirements for Testing and Acceptance of Compaction</w:t>
      </w:r>
    </w:p>
    <w:p w14:paraId="47E14AAE" w14:textId="77777777" w:rsidR="00DC2BDB" w:rsidRDefault="00DC2BDB" w:rsidP="009074EE">
      <w:pPr>
        <w:tabs>
          <w:tab w:val="left" w:pos="454"/>
        </w:tabs>
        <w:spacing w:before="180"/>
        <w:ind w:left="454" w:hanging="454"/>
        <w:rPr>
          <w:lang w:val="en-AU"/>
        </w:rPr>
      </w:pPr>
      <w:r>
        <w:rPr>
          <w:lang w:val="en-AU"/>
        </w:rPr>
        <w:tab/>
        <w:t>The work represented by the lot will be accepted as far as compaction is concerned if the mean density ratio for the lot is not less than 96.0%.</w:t>
      </w:r>
    </w:p>
    <w:p w14:paraId="28FAD5B8" w14:textId="77777777" w:rsidR="00DC2BDB" w:rsidRDefault="00DC2BDB" w:rsidP="009074EE">
      <w:pPr>
        <w:tabs>
          <w:tab w:val="left" w:pos="454"/>
        </w:tabs>
        <w:spacing w:before="180"/>
        <w:ind w:left="454" w:hanging="454"/>
        <w:rPr>
          <w:lang w:val="en-AU"/>
        </w:rPr>
      </w:pPr>
      <w:r>
        <w:rPr>
          <w:lang w:val="en-AU"/>
        </w:rPr>
        <w:tab/>
        <w:t>If the mean of the individual density ratio test values for the lot is less than 96.0%, but greater than or equal to 92% the work represented by the lot may be accepted but the method of</w:t>
      </w:r>
      <w:r>
        <w:rPr>
          <w:i/>
          <w:lang w:val="en-AU"/>
        </w:rPr>
        <w:t xml:space="preserve"> </w:t>
      </w:r>
      <w:r>
        <w:rPr>
          <w:lang w:val="en-AU"/>
        </w:rPr>
        <w:t xml:space="preserve">rectification and/or redesign of the pavement shall be </w:t>
      </w:r>
      <w:r w:rsidR="00850C4D">
        <w:rPr>
          <w:lang w:val="en-AU"/>
        </w:rPr>
        <w:t>approv</w:t>
      </w:r>
      <w:r>
        <w:rPr>
          <w:lang w:val="en-AU"/>
        </w:rPr>
        <w:t>ed by the Superintendent.  Alternatively, the Superintendent may accept the work</w:t>
      </w:r>
      <w:r>
        <w:rPr>
          <w:i/>
          <w:lang w:val="en-AU"/>
        </w:rPr>
        <w:t xml:space="preserve"> </w:t>
      </w:r>
      <w:r>
        <w:rPr>
          <w:lang w:val="en-AU"/>
        </w:rPr>
        <w:t>at a reduced rate calculated using the formula:</w:t>
      </w:r>
    </w:p>
    <w:p w14:paraId="39E5CBE3" w14:textId="77777777" w:rsidR="00DC2BDB" w:rsidRDefault="00DC2BDB">
      <w:pPr>
        <w:spacing w:line="160" w:lineRule="exact"/>
        <w:rPr>
          <w:lang w:val="en-AU"/>
        </w:rPr>
      </w:pPr>
    </w:p>
    <w:p w14:paraId="3FCB875A" w14:textId="77777777" w:rsidR="00DC2BDB" w:rsidRPr="00B637F2" w:rsidRDefault="00DC2BDB" w:rsidP="00B637F2">
      <w:pPr>
        <w:tabs>
          <w:tab w:val="left" w:pos="2835"/>
        </w:tabs>
        <w:rPr>
          <w:sz w:val="28"/>
          <w:szCs w:val="28"/>
          <w:lang w:val="en-AU"/>
        </w:rPr>
      </w:pPr>
      <w:r>
        <w:rPr>
          <w:b/>
          <w:lang w:val="en-AU"/>
        </w:rPr>
        <w:tab/>
      </w:r>
      <w:r w:rsidRPr="00B637F2">
        <w:rPr>
          <w:sz w:val="28"/>
          <w:szCs w:val="28"/>
          <w:lang w:val="en-AU"/>
        </w:rPr>
        <w:t>P  =  4R</w:t>
      </w:r>
      <w:r w:rsidRPr="00B637F2">
        <w:rPr>
          <w:sz w:val="28"/>
          <w:szCs w:val="28"/>
          <w:vertAlign w:val="subscript"/>
          <w:lang w:val="en-AU"/>
        </w:rPr>
        <w:t>m</w:t>
      </w:r>
      <w:r w:rsidRPr="00B637F2">
        <w:rPr>
          <w:sz w:val="28"/>
          <w:szCs w:val="28"/>
          <w:lang w:val="en-AU"/>
        </w:rPr>
        <w:t xml:space="preserve"> </w:t>
      </w:r>
      <w:r w:rsidRPr="00B637F2">
        <w:rPr>
          <w:sz w:val="28"/>
          <w:szCs w:val="28"/>
          <w:lang w:val="en-AU"/>
        </w:rPr>
        <w:noBreakHyphen/>
        <w:t xml:space="preserve"> 284</w:t>
      </w:r>
    </w:p>
    <w:p w14:paraId="7E1450E6" w14:textId="77777777" w:rsidR="00DC2BDB" w:rsidRDefault="00DC2BDB" w:rsidP="009074EE">
      <w:pPr>
        <w:tabs>
          <w:tab w:val="left" w:pos="454"/>
        </w:tabs>
        <w:spacing w:before="180"/>
        <w:ind w:left="454" w:hanging="454"/>
        <w:rPr>
          <w:lang w:val="en-AU"/>
        </w:rPr>
      </w:pPr>
      <w:r>
        <w:rPr>
          <w:lang w:val="en-AU"/>
        </w:rPr>
        <w:tab/>
        <w:t>in which R</w:t>
      </w:r>
      <w:r>
        <w:rPr>
          <w:vertAlign w:val="subscript"/>
          <w:lang w:val="en-AU"/>
        </w:rPr>
        <w:t>m</w:t>
      </w:r>
      <w:r>
        <w:rPr>
          <w:lang w:val="en-AU"/>
        </w:rPr>
        <w:t xml:space="preserve"> is the mean of the individual density ratio test values for the lot and P is percentage of the value of  work represented by the lot that will be paid provided the value of P shall not exceed 100.  For the application of this formula the value of work represented by the lot shall be calculated from the unit rate of payment specified in Clause 306.12(b).</w:t>
      </w:r>
    </w:p>
    <w:p w14:paraId="6C707326" w14:textId="77777777" w:rsidR="00DC2BDB" w:rsidRDefault="00DC2BDB" w:rsidP="00217E09">
      <w:pPr>
        <w:rPr>
          <w:lang w:val="en-AU"/>
        </w:rPr>
      </w:pPr>
    </w:p>
    <w:p w14:paraId="30FE72B7" w14:textId="77777777" w:rsidR="00DC2BDB" w:rsidRDefault="00DC2BDB" w:rsidP="00217E09">
      <w:pPr>
        <w:rPr>
          <w:lang w:val="en-AU"/>
        </w:rPr>
      </w:pPr>
    </w:p>
    <w:p w14:paraId="2C839E57" w14:textId="77777777" w:rsidR="00DC2BDB" w:rsidRDefault="00DC2BDB" w:rsidP="0027402B">
      <w:pPr>
        <w:pStyle w:val="Heading3SS"/>
      </w:pPr>
      <w:r>
        <w:t>306.10</w:t>
      </w:r>
      <w:r>
        <w:tab/>
        <w:t>TEST ROLLING</w:t>
      </w:r>
    </w:p>
    <w:p w14:paraId="505E2A80" w14:textId="77777777" w:rsidR="00DC2BDB" w:rsidRDefault="00DC2BDB">
      <w:pPr>
        <w:spacing w:line="200" w:lineRule="exact"/>
        <w:rPr>
          <w:lang w:val="en-AU"/>
        </w:rPr>
      </w:pPr>
    </w:p>
    <w:p w14:paraId="4791417F" w14:textId="77777777" w:rsidR="00DC2BDB" w:rsidRDefault="00DC2BDB">
      <w:pPr>
        <w:rPr>
          <w:lang w:val="en-AU"/>
        </w:rPr>
      </w:pPr>
      <w:r>
        <w:rPr>
          <w:lang w:val="en-AU"/>
        </w:rPr>
        <w:t xml:space="preserve">Test rolling may be carried out in accordance with the requirements of Section 173 on the cementitious treated </w:t>
      </w:r>
      <w:r w:rsidR="00D17275">
        <w:rPr>
          <w:lang w:val="en-AU"/>
        </w:rPr>
        <w:t xml:space="preserve">pavement </w:t>
      </w:r>
      <w:r>
        <w:rPr>
          <w:lang w:val="en-AU"/>
        </w:rPr>
        <w:t>subbase layer within the maximum allowable working time for the relevant binder and time of year as specified in Table 306.091.</w:t>
      </w:r>
    </w:p>
    <w:p w14:paraId="2A8A8C8A" w14:textId="77777777" w:rsidR="00217E09" w:rsidRDefault="00217E09" w:rsidP="00217E09">
      <w:pPr>
        <w:rPr>
          <w:lang w:val="en-AU"/>
        </w:rPr>
      </w:pPr>
    </w:p>
    <w:p w14:paraId="203E5716" w14:textId="77777777" w:rsidR="00217E09" w:rsidRDefault="00217E09" w:rsidP="00217E09">
      <w:pPr>
        <w:rPr>
          <w:lang w:val="en-AU"/>
        </w:rPr>
      </w:pPr>
    </w:p>
    <w:p w14:paraId="129FAF60" w14:textId="77777777" w:rsidR="00DC2BDB" w:rsidRDefault="00DC2BDB" w:rsidP="0027402B">
      <w:pPr>
        <w:pStyle w:val="Heading3SS"/>
      </w:pPr>
      <w:r>
        <w:t>306.11</w:t>
      </w:r>
      <w:r>
        <w:tab/>
        <w:t>CURING AND PROTECTION OF COMPACTED LAYERS</w:t>
      </w:r>
    </w:p>
    <w:p w14:paraId="1317BB30" w14:textId="77777777" w:rsidR="00DC2BDB" w:rsidRDefault="00DC2BDB" w:rsidP="00217E09">
      <w:pPr>
        <w:spacing w:before="200"/>
        <w:rPr>
          <w:lang w:val="en-AU"/>
        </w:rPr>
      </w:pPr>
      <w:r>
        <w:rPr>
          <w:lang w:val="en-AU"/>
        </w:rPr>
        <w:t>Unless there are special design and construction conditions specified for placing of multiple layers, cementitious treated subbase with a pavement design modulus exceeding 500 MPa shall be placed in a single layer.  The minimum compacted thickness shall be not less than 100 mm and the maximum compacted thickness shall be no more than 180 mm and constructed within the tolerances specified in Clause 306.03.</w:t>
      </w:r>
    </w:p>
    <w:p w14:paraId="1074D497" w14:textId="77777777" w:rsidR="00DC2BDB" w:rsidRDefault="00DC2BDB">
      <w:pPr>
        <w:spacing w:line="200" w:lineRule="exact"/>
        <w:rPr>
          <w:lang w:val="en-AU"/>
        </w:rPr>
      </w:pPr>
    </w:p>
    <w:p w14:paraId="6D0C6883" w14:textId="77777777" w:rsidR="00217E09" w:rsidRDefault="00217E09" w:rsidP="00217E09">
      <w:pPr>
        <w:pStyle w:val="Heading5SS"/>
      </w:pPr>
      <w:r>
        <w:t>(a)</w:t>
      </w:r>
      <w:r>
        <w:tab/>
        <w:t>Pavement Design Modulus of 500 MPa or where no Pavement Design Modulus is Specified</w:t>
      </w:r>
    </w:p>
    <w:p w14:paraId="10126A9F" w14:textId="77777777" w:rsidR="00217E09" w:rsidRDefault="00217E09" w:rsidP="00217E09">
      <w:pPr>
        <w:spacing w:before="160"/>
        <w:ind w:left="454"/>
        <w:rPr>
          <w:lang w:val="en-AU"/>
        </w:rPr>
      </w:pPr>
      <w:r>
        <w:rPr>
          <w:lang w:val="en-AU"/>
        </w:rPr>
        <w:t>The surface of each compacted layer shall be kept moist for a period of seven days unless covered at an earlier stage with the succeeding layer or with an approved curing membrane.</w:t>
      </w:r>
    </w:p>
    <w:p w14:paraId="2D910126" w14:textId="77777777" w:rsidR="00217E09" w:rsidRDefault="00217E09" w:rsidP="00217E09">
      <w:pPr>
        <w:spacing w:before="160"/>
        <w:ind w:left="454"/>
        <w:rPr>
          <w:lang w:val="en-AU"/>
        </w:rPr>
      </w:pPr>
      <w:r>
        <w:rPr>
          <w:lang w:val="en-AU"/>
        </w:rPr>
        <w:t>Construction or other traffic shall not use a compacted layer within 24 hours of placement without the approval of the Superintendent.</w:t>
      </w:r>
    </w:p>
    <w:p w14:paraId="2EE5C8CD" w14:textId="77777777" w:rsidR="00217E09" w:rsidRDefault="00217E09" w:rsidP="00217E09">
      <w:pPr>
        <w:spacing w:before="160"/>
        <w:ind w:left="454"/>
        <w:rPr>
          <w:lang w:val="en-AU"/>
        </w:rPr>
      </w:pPr>
      <w:r>
        <w:rPr>
          <w:lang w:val="en-AU"/>
        </w:rPr>
        <w:t>The subbase shall be kept in good order and condition and free from contamination.</w:t>
      </w:r>
    </w:p>
    <w:p w14:paraId="40552A94" w14:textId="77777777" w:rsidR="00217E09" w:rsidRDefault="00217E09" w:rsidP="00217E09">
      <w:pPr>
        <w:spacing w:line="200" w:lineRule="exact"/>
        <w:rPr>
          <w:lang w:val="en-AU"/>
        </w:rPr>
      </w:pPr>
    </w:p>
    <w:p w14:paraId="1E4F3BE5" w14:textId="77777777" w:rsidR="009074EE" w:rsidRDefault="00B612DE" w:rsidP="007E63F5">
      <w:pPr>
        <w:spacing w:line="40" w:lineRule="exact"/>
      </w:pPr>
      <w:r>
        <w:rPr>
          <w:noProof/>
          <w:snapToGrid/>
          <w:lang w:val="en-AU" w:eastAsia="en-AU"/>
        </w:rPr>
        <w:pict w14:anchorId="28150227">
          <v:shape id="_x0000_s1054" type="#_x0000_t202" style="position:absolute;margin-left:0;margin-top:779.65pt;width:481.9pt;height:36.85pt;z-index:-251656704;mso-wrap-distance-top:5.65pt;mso-position-horizontal:center;mso-position-horizontal-relative:page;mso-position-vertical-relative:page" stroked="f">
            <v:textbox style="mso-next-textbox:#_x0000_s1054" inset="0,,0">
              <w:txbxContent>
                <w:p w14:paraId="6BEEC2A0" w14:textId="77777777" w:rsidR="00411692" w:rsidRDefault="00411692" w:rsidP="009074EE">
                  <w:pPr>
                    <w:pBdr>
                      <w:top w:val="single" w:sz="6" w:space="1" w:color="000000"/>
                    </w:pBdr>
                    <w:spacing w:line="60" w:lineRule="exact"/>
                    <w:jc w:val="right"/>
                    <w:rPr>
                      <w:b/>
                    </w:rPr>
                  </w:pPr>
                </w:p>
                <w:p w14:paraId="41AD741A" w14:textId="3ACF604D" w:rsidR="00411692" w:rsidRDefault="00411692" w:rsidP="009074EE">
                  <w:pPr>
                    <w:pBdr>
                      <w:top w:val="single" w:sz="6" w:space="1" w:color="000000"/>
                    </w:pBdr>
                    <w:jc w:val="right"/>
                  </w:pPr>
                  <w:r>
                    <w:rPr>
                      <w:b/>
                    </w:rPr>
                    <w:t>©</w:t>
                  </w:r>
                  <w:r>
                    <w:t xml:space="preserve"> </w:t>
                  </w:r>
                  <w:r w:rsidR="00B612DE">
                    <w:t xml:space="preserve">Department of </w:t>
                  </w:r>
                  <w:proofErr w:type="gramStart"/>
                  <w:r w:rsidR="00B612DE">
                    <w:t>Transport</w:t>
                  </w:r>
                  <w:r>
                    <w:t xml:space="preserve">  </w:t>
                  </w:r>
                  <w:r w:rsidR="009A3C43">
                    <w:t>October</w:t>
                  </w:r>
                  <w:proofErr w:type="gramEnd"/>
                  <w:r w:rsidR="009A3C43">
                    <w:t xml:space="preserve"> 2019</w:t>
                  </w:r>
                </w:p>
                <w:p w14:paraId="364BEC94" w14:textId="77777777" w:rsidR="00411692" w:rsidRDefault="00411692" w:rsidP="009074EE">
                  <w:pPr>
                    <w:jc w:val="right"/>
                  </w:pPr>
                  <w:r>
                    <w:t xml:space="preserve">Section 306 (Page </w:t>
                  </w:r>
                  <w:r w:rsidR="00AD4F9C">
                    <w:t>6 of 7)</w:t>
                  </w:r>
                </w:p>
              </w:txbxContent>
            </v:textbox>
            <w10:wrap anchorx="page" anchory="page"/>
            <w10:anchorlock/>
          </v:shape>
        </w:pict>
      </w:r>
      <w:r w:rsidR="009074EE">
        <w:br w:type="page"/>
      </w:r>
    </w:p>
    <w:p w14:paraId="60B988A5" w14:textId="77777777" w:rsidR="00DC2BDB" w:rsidRDefault="00DC2BDB" w:rsidP="00CB44AB">
      <w:pPr>
        <w:pStyle w:val="Heading5SS"/>
      </w:pPr>
      <w:r>
        <w:t>(b)</w:t>
      </w:r>
      <w:r>
        <w:tab/>
        <w:t>Pavement Design Modulus of 2000 MPa</w:t>
      </w:r>
    </w:p>
    <w:p w14:paraId="48BC1495" w14:textId="77777777" w:rsidR="00DC2BDB" w:rsidRDefault="00DC2BDB" w:rsidP="007E63F5">
      <w:pPr>
        <w:spacing w:before="140"/>
        <w:ind w:left="454"/>
        <w:rPr>
          <w:lang w:val="en-AU"/>
        </w:rPr>
      </w:pPr>
      <w:r>
        <w:rPr>
          <w:lang w:val="en-AU"/>
        </w:rPr>
        <w:t>In addition to meeting the requirements of Clause 306.11(a) above, the Contractor shall:</w:t>
      </w:r>
    </w:p>
    <w:p w14:paraId="726E6E85" w14:textId="77777777" w:rsidR="00DC2BDB" w:rsidRDefault="00DC2BDB" w:rsidP="00411692">
      <w:pPr>
        <w:tabs>
          <w:tab w:val="right" w:pos="454"/>
          <w:tab w:val="right" w:pos="709"/>
          <w:tab w:val="left" w:pos="851"/>
        </w:tabs>
        <w:spacing w:before="80"/>
        <w:ind w:left="851" w:hanging="851"/>
        <w:rPr>
          <w:lang w:val="en-AU"/>
        </w:rPr>
      </w:pPr>
      <w:r>
        <w:rPr>
          <w:lang w:val="en-AU"/>
        </w:rPr>
        <w:tab/>
      </w:r>
      <w:r>
        <w:rPr>
          <w:lang w:val="en-AU"/>
        </w:rPr>
        <w:tab/>
        <w:t>(i)</w:t>
      </w:r>
      <w:r>
        <w:rPr>
          <w:lang w:val="en-AU"/>
        </w:rPr>
        <w:tab/>
        <w:t>cure the cementitious treated subbase by maintaining the surface in a moist condition</w:t>
      </w:r>
      <w:r>
        <w:rPr>
          <w:i/>
          <w:lang w:val="en-AU"/>
        </w:rPr>
        <w:t xml:space="preserve"> </w:t>
      </w:r>
      <w:r>
        <w:rPr>
          <w:lang w:val="en-AU"/>
        </w:rPr>
        <w:t xml:space="preserve">for </w:t>
      </w:r>
      <w:r w:rsidR="00BA6BA1">
        <w:rPr>
          <w:lang w:val="en-AU"/>
        </w:rPr>
        <w:t xml:space="preserve">seven </w:t>
      </w:r>
      <w:r>
        <w:rPr>
          <w:lang w:val="en-AU"/>
        </w:rPr>
        <w:t>days;</w:t>
      </w:r>
    </w:p>
    <w:p w14:paraId="1192CEB8" w14:textId="77777777" w:rsidR="00DC2BDB" w:rsidRDefault="00DC2BDB" w:rsidP="00411692">
      <w:pPr>
        <w:tabs>
          <w:tab w:val="right" w:pos="454"/>
          <w:tab w:val="right" w:pos="709"/>
          <w:tab w:val="left" w:pos="851"/>
        </w:tabs>
        <w:spacing w:before="80"/>
        <w:ind w:left="851" w:hanging="851"/>
        <w:rPr>
          <w:lang w:val="en-AU"/>
        </w:rPr>
      </w:pPr>
      <w:r>
        <w:rPr>
          <w:lang w:val="en-AU"/>
        </w:rPr>
        <w:tab/>
      </w:r>
      <w:r>
        <w:rPr>
          <w:lang w:val="en-AU"/>
        </w:rPr>
        <w:tab/>
        <w:t>(ii)</w:t>
      </w:r>
      <w:r>
        <w:rPr>
          <w:lang w:val="en-AU"/>
        </w:rPr>
        <w:tab/>
        <w:t xml:space="preserve">prevent construction plant from using the pavement during the </w:t>
      </w:r>
      <w:r w:rsidR="00BA6BA1">
        <w:rPr>
          <w:lang w:val="en-AU"/>
        </w:rPr>
        <w:t>seven</w:t>
      </w:r>
      <w:r>
        <w:rPr>
          <w:lang w:val="en-AU"/>
        </w:rPr>
        <w:t xml:space="preserve"> day curing period apart from that required to maintain and cure the surface; and</w:t>
      </w:r>
    </w:p>
    <w:p w14:paraId="4811199F" w14:textId="77777777" w:rsidR="00DC2BDB" w:rsidRDefault="00DC2BDB" w:rsidP="00411692">
      <w:pPr>
        <w:tabs>
          <w:tab w:val="right" w:pos="454"/>
          <w:tab w:val="right" w:pos="709"/>
          <w:tab w:val="left" w:pos="851"/>
        </w:tabs>
        <w:spacing w:before="80"/>
        <w:ind w:left="851" w:hanging="851"/>
        <w:rPr>
          <w:lang w:val="en-AU"/>
        </w:rPr>
      </w:pPr>
      <w:r>
        <w:rPr>
          <w:lang w:val="en-AU"/>
        </w:rPr>
        <w:tab/>
      </w:r>
      <w:r>
        <w:rPr>
          <w:lang w:val="en-AU"/>
        </w:rPr>
        <w:tab/>
        <w:t>(iii)</w:t>
      </w:r>
      <w:r>
        <w:rPr>
          <w:lang w:val="en-AU"/>
        </w:rPr>
        <w:tab/>
        <w:t xml:space="preserve">after the </w:t>
      </w:r>
      <w:r w:rsidR="00BA6BA1">
        <w:rPr>
          <w:lang w:val="en-AU"/>
        </w:rPr>
        <w:t xml:space="preserve">seven </w:t>
      </w:r>
      <w:r>
        <w:rPr>
          <w:lang w:val="en-AU"/>
        </w:rPr>
        <w:t xml:space="preserve">day curing period, restrict all construction traffic to vehicles with a maximum axle group load of </w:t>
      </w:r>
      <w:r w:rsidR="00BA6BA1">
        <w:rPr>
          <w:lang w:val="en-AU"/>
        </w:rPr>
        <w:t>4 </w:t>
      </w:r>
      <w:r>
        <w:rPr>
          <w:lang w:val="en-AU"/>
        </w:rPr>
        <w:t>tonne</w:t>
      </w:r>
      <w:r w:rsidR="00BA6BA1">
        <w:rPr>
          <w:lang w:val="en-AU"/>
        </w:rPr>
        <w:t>s</w:t>
      </w:r>
      <w:r>
        <w:rPr>
          <w:lang w:val="en-AU"/>
        </w:rPr>
        <w:t xml:space="preserve"> until asphalt base and intermediate courses are placed (priming, primersealing and asphalt placement activities excepted).</w:t>
      </w:r>
    </w:p>
    <w:p w14:paraId="5310CC1E" w14:textId="77777777" w:rsidR="00DC2BDB" w:rsidRDefault="00DC2BDB" w:rsidP="007E63F5">
      <w:pPr>
        <w:spacing w:line="180" w:lineRule="exact"/>
        <w:rPr>
          <w:lang w:val="en-AU"/>
        </w:rPr>
      </w:pPr>
    </w:p>
    <w:p w14:paraId="46736F31" w14:textId="77777777" w:rsidR="00DC2BDB" w:rsidRDefault="00DC2BDB" w:rsidP="00614435">
      <w:pPr>
        <w:pStyle w:val="Heading5SS"/>
      </w:pPr>
      <w:r>
        <w:t>(c)</w:t>
      </w:r>
      <w:r>
        <w:tab/>
        <w:t>Pavement Design Modulus of 3500 MPa</w:t>
      </w:r>
    </w:p>
    <w:p w14:paraId="557D91E7" w14:textId="77777777" w:rsidR="00DC2BDB" w:rsidRDefault="00DC2BDB" w:rsidP="007E63F5">
      <w:pPr>
        <w:spacing w:before="140"/>
        <w:ind w:left="454"/>
        <w:rPr>
          <w:lang w:val="en-AU"/>
        </w:rPr>
      </w:pPr>
      <w:r>
        <w:rPr>
          <w:lang w:val="en-AU"/>
        </w:rPr>
        <w:t>In addition to meeting the requirements of Clause 306.11(</w:t>
      </w:r>
      <w:r w:rsidR="00936CC4">
        <w:rPr>
          <w:lang w:val="en-AU"/>
        </w:rPr>
        <w:t>a</w:t>
      </w:r>
      <w:r>
        <w:rPr>
          <w:lang w:val="en-AU"/>
        </w:rPr>
        <w:t>) above, the Contractor shall:</w:t>
      </w:r>
    </w:p>
    <w:p w14:paraId="4D53225C" w14:textId="77777777" w:rsidR="00DC2BDB" w:rsidRDefault="00DC2BDB" w:rsidP="007E63F5">
      <w:pPr>
        <w:tabs>
          <w:tab w:val="right" w:pos="454"/>
          <w:tab w:val="right" w:pos="709"/>
          <w:tab w:val="left" w:pos="851"/>
        </w:tabs>
        <w:spacing w:before="100"/>
        <w:ind w:left="851" w:hanging="851"/>
        <w:rPr>
          <w:lang w:val="en-AU"/>
        </w:rPr>
      </w:pPr>
      <w:r>
        <w:rPr>
          <w:lang w:val="en-AU"/>
        </w:rPr>
        <w:tab/>
      </w:r>
      <w:r>
        <w:rPr>
          <w:lang w:val="en-AU"/>
        </w:rPr>
        <w:tab/>
        <w:t>(i)</w:t>
      </w:r>
      <w:r>
        <w:rPr>
          <w:lang w:val="en-AU"/>
        </w:rPr>
        <w:tab/>
      </w:r>
      <w:r w:rsidR="00513ADD">
        <w:rPr>
          <w:lang w:val="en-AU"/>
        </w:rPr>
        <w:t>a</w:t>
      </w:r>
      <w:r>
        <w:rPr>
          <w:lang w:val="en-AU"/>
        </w:rPr>
        <w:t>pply a size 7 CRS standard grade emulsion primerseal at a rate of application of 1.5 litres per square metre (0.9 litres per square metre of residual binder) to the cementitious treated subbase within 12 to 24 hours after completion of compaction.  If after 24 hours ambient conditions are such the material has not dried back to less than 80% of the modified optimum moisture content, the primerseal shall be delayed until such time as the moisture content h</w:t>
      </w:r>
      <w:r w:rsidR="00513ADD">
        <w:rPr>
          <w:lang w:val="en-AU"/>
        </w:rPr>
        <w:t>as reduced below 80% of optimum.</w:t>
      </w:r>
    </w:p>
    <w:p w14:paraId="0959FC4A" w14:textId="77777777" w:rsidR="00DC2BDB" w:rsidRDefault="00DC2BDB" w:rsidP="007E63F5">
      <w:pPr>
        <w:tabs>
          <w:tab w:val="right" w:pos="454"/>
          <w:tab w:val="right" w:pos="709"/>
          <w:tab w:val="left" w:pos="851"/>
        </w:tabs>
        <w:spacing w:before="100"/>
        <w:ind w:left="851" w:hanging="851"/>
        <w:rPr>
          <w:lang w:val="en-AU"/>
        </w:rPr>
      </w:pPr>
      <w:r>
        <w:rPr>
          <w:lang w:val="en-AU"/>
        </w:rPr>
        <w:tab/>
      </w:r>
      <w:r>
        <w:rPr>
          <w:lang w:val="en-AU"/>
        </w:rPr>
        <w:tab/>
      </w:r>
      <w:r>
        <w:rPr>
          <w:lang w:val="en-AU"/>
        </w:rPr>
        <w:tab/>
      </w:r>
      <w:r w:rsidR="00513ADD">
        <w:rPr>
          <w:lang w:val="en-AU"/>
        </w:rPr>
        <w:t>S</w:t>
      </w:r>
      <w:r>
        <w:rPr>
          <w:lang w:val="en-AU"/>
        </w:rPr>
        <w:t>ubject to approval by the Superintendent and if weather conditions during the period from October to April inclusive suit priming, a light or very light cut back bitumen primer may be applied to the surface of the of the cement</w:t>
      </w:r>
      <w:r w:rsidR="00A64AB7">
        <w:rPr>
          <w:lang w:val="en-AU"/>
        </w:rPr>
        <w:t>itious</w:t>
      </w:r>
      <w:r>
        <w:rPr>
          <w:lang w:val="en-AU"/>
        </w:rPr>
        <w:t xml:space="preserve"> treated material in lieu of the emulsion primerseal.  The rate of application of primer shall be a minimum of 0.6</w:t>
      </w:r>
      <w:r w:rsidR="00A64AB7">
        <w:rPr>
          <w:lang w:val="en-AU"/>
        </w:rPr>
        <w:t> </w:t>
      </w:r>
      <w:r>
        <w:rPr>
          <w:lang w:val="en-AU"/>
        </w:rPr>
        <w:t>litres per square metre and shall deliver a minimum of 0.3 to 0.4 litres per square metre of residual bitumen to the surface.</w:t>
      </w:r>
    </w:p>
    <w:p w14:paraId="5C3066B1" w14:textId="77777777" w:rsidR="00DC2BDB" w:rsidRDefault="00A64AB7" w:rsidP="007E63F5">
      <w:pPr>
        <w:tabs>
          <w:tab w:val="left" w:pos="454"/>
          <w:tab w:val="right" w:pos="709"/>
          <w:tab w:val="left" w:pos="851"/>
        </w:tabs>
        <w:spacing w:before="100"/>
        <w:ind w:left="851" w:hanging="1418"/>
        <w:rPr>
          <w:lang w:val="en-AU"/>
        </w:rPr>
      </w:pPr>
      <w:r>
        <w:rPr>
          <w:b/>
          <w:lang w:val="en-AU"/>
        </w:rPr>
        <w:t>HP</w:t>
      </w:r>
      <w:r w:rsidR="00DC2BDB">
        <w:rPr>
          <w:b/>
          <w:lang w:val="en-AU"/>
        </w:rPr>
        <w:tab/>
      </w:r>
      <w:r w:rsidR="00DC2BDB">
        <w:rPr>
          <w:b/>
          <w:lang w:val="en-AU"/>
        </w:rPr>
        <w:tab/>
      </w:r>
      <w:r w:rsidR="00DC2BDB">
        <w:rPr>
          <w:b/>
          <w:lang w:val="en-AU"/>
        </w:rPr>
        <w:tab/>
        <w:t>Requests by the Contractor to vary the rates of application shall be submitted in writing to the Superintendent for review.</w:t>
      </w:r>
    </w:p>
    <w:p w14:paraId="47E07CE7" w14:textId="77777777" w:rsidR="00DC2BDB" w:rsidRDefault="00DC2BDB" w:rsidP="007E63F5">
      <w:pPr>
        <w:tabs>
          <w:tab w:val="right" w:pos="454"/>
          <w:tab w:val="right" w:pos="709"/>
          <w:tab w:val="left" w:pos="851"/>
        </w:tabs>
        <w:spacing w:before="100"/>
        <w:ind w:left="851" w:hanging="851"/>
        <w:rPr>
          <w:lang w:val="en-AU"/>
        </w:rPr>
      </w:pPr>
      <w:r>
        <w:rPr>
          <w:lang w:val="en-AU"/>
        </w:rPr>
        <w:tab/>
      </w:r>
      <w:r>
        <w:rPr>
          <w:lang w:val="en-AU"/>
        </w:rPr>
        <w:tab/>
      </w:r>
      <w:r>
        <w:rPr>
          <w:lang w:val="en-AU"/>
        </w:rPr>
        <w:tab/>
        <w:t>Primersealing shall not be carried out within 12 hours of forecast rain and priming, if approved for use, shall not be carried out within 24 hours of forecast rain.</w:t>
      </w:r>
    </w:p>
    <w:p w14:paraId="0A247347" w14:textId="77777777" w:rsidR="00DC2BDB" w:rsidRDefault="00A64AB7" w:rsidP="007E63F5">
      <w:pPr>
        <w:tabs>
          <w:tab w:val="left" w:pos="454"/>
          <w:tab w:val="right" w:pos="709"/>
          <w:tab w:val="left" w:pos="851"/>
        </w:tabs>
        <w:spacing w:before="100"/>
        <w:ind w:left="851" w:hanging="1418"/>
        <w:rPr>
          <w:lang w:val="en-AU"/>
        </w:rPr>
      </w:pPr>
      <w:r>
        <w:rPr>
          <w:b/>
          <w:lang w:val="en-AU"/>
        </w:rPr>
        <w:t>HP</w:t>
      </w:r>
      <w:r w:rsidR="00DC2BDB">
        <w:rPr>
          <w:b/>
          <w:lang w:val="en-AU"/>
        </w:rPr>
        <w:tab/>
      </w:r>
      <w:r w:rsidR="00DC2BDB">
        <w:rPr>
          <w:b/>
          <w:lang w:val="en-AU"/>
        </w:rPr>
        <w:tab/>
      </w:r>
      <w:r w:rsidR="00DC2BDB">
        <w:rPr>
          <w:b/>
          <w:lang w:val="en-AU"/>
        </w:rPr>
        <w:tab/>
        <w:t>The Contractor’s Environmental Management Plan shall include procedures to minimise all risks of damage to the environment associated with priming and primersealing.</w:t>
      </w:r>
    </w:p>
    <w:p w14:paraId="3367179A" w14:textId="77777777" w:rsidR="00DC2BDB" w:rsidRDefault="00DC2BDB" w:rsidP="007E63F5">
      <w:pPr>
        <w:tabs>
          <w:tab w:val="right" w:pos="454"/>
          <w:tab w:val="right" w:pos="709"/>
          <w:tab w:val="left" w:pos="851"/>
        </w:tabs>
        <w:spacing w:before="100"/>
        <w:ind w:left="851" w:hanging="851"/>
        <w:rPr>
          <w:lang w:val="en-AU"/>
        </w:rPr>
      </w:pPr>
      <w:r>
        <w:rPr>
          <w:lang w:val="en-AU"/>
        </w:rPr>
        <w:tab/>
      </w:r>
      <w:r>
        <w:rPr>
          <w:lang w:val="en-AU"/>
        </w:rPr>
        <w:tab/>
        <w:t>(ii)</w:t>
      </w:r>
      <w:r>
        <w:rPr>
          <w:lang w:val="en-AU"/>
        </w:rPr>
        <w:tab/>
      </w:r>
      <w:r w:rsidR="00513ADD">
        <w:rPr>
          <w:lang w:val="en-AU"/>
        </w:rPr>
        <w:t>a</w:t>
      </w:r>
      <w:r>
        <w:rPr>
          <w:lang w:val="en-AU"/>
        </w:rPr>
        <w:t>llow the cement</w:t>
      </w:r>
      <w:r w:rsidR="0071205D">
        <w:rPr>
          <w:lang w:val="en-AU"/>
        </w:rPr>
        <w:t>itious</w:t>
      </w:r>
      <w:r>
        <w:rPr>
          <w:lang w:val="en-AU"/>
        </w:rPr>
        <w:t xml:space="preserve"> treated subbase to cure</w:t>
      </w:r>
      <w:r w:rsidRPr="007E63F5">
        <w:rPr>
          <w:lang w:val="en-AU"/>
        </w:rPr>
        <w:t xml:space="preserve"> </w:t>
      </w:r>
      <w:r>
        <w:rPr>
          <w:lang w:val="en-AU"/>
        </w:rPr>
        <w:t xml:space="preserve">for </w:t>
      </w:r>
      <w:r w:rsidR="0071205D">
        <w:rPr>
          <w:lang w:val="en-AU"/>
        </w:rPr>
        <w:t xml:space="preserve">seven </w:t>
      </w:r>
      <w:r>
        <w:rPr>
          <w:lang w:val="en-AU"/>
        </w:rPr>
        <w:t>days without trafficking (except for the applicatio</w:t>
      </w:r>
      <w:r w:rsidR="0071205D">
        <w:rPr>
          <w:lang w:val="en-AU"/>
        </w:rPr>
        <w:t xml:space="preserve">n of a prime or </w:t>
      </w:r>
      <w:proofErr w:type="spellStart"/>
      <w:r w:rsidR="0071205D">
        <w:rPr>
          <w:lang w:val="en-AU"/>
        </w:rPr>
        <w:t>primerseal</w:t>
      </w:r>
      <w:proofErr w:type="spellEnd"/>
      <w:r w:rsidR="0071205D">
        <w:rPr>
          <w:lang w:val="en-AU"/>
        </w:rPr>
        <w:t>);</w:t>
      </w:r>
    </w:p>
    <w:p w14:paraId="15013A40" w14:textId="77777777" w:rsidR="00436F11" w:rsidRDefault="00436F11" w:rsidP="007E63F5">
      <w:pPr>
        <w:tabs>
          <w:tab w:val="right" w:pos="454"/>
          <w:tab w:val="right" w:pos="709"/>
          <w:tab w:val="left" w:pos="851"/>
        </w:tabs>
        <w:spacing w:before="100"/>
        <w:ind w:left="851" w:hanging="851"/>
        <w:rPr>
          <w:lang w:val="en-AU"/>
        </w:rPr>
      </w:pPr>
      <w:r>
        <w:rPr>
          <w:lang w:val="en-AU"/>
        </w:rPr>
        <w:tab/>
      </w:r>
      <w:r>
        <w:rPr>
          <w:lang w:val="en-AU"/>
        </w:rPr>
        <w:tab/>
        <w:t>(iii)</w:t>
      </w:r>
      <w:r>
        <w:rPr>
          <w:lang w:val="en-AU"/>
        </w:rPr>
        <w:tab/>
      </w:r>
      <w:r w:rsidR="00513ADD">
        <w:rPr>
          <w:lang w:val="en-AU"/>
        </w:rPr>
        <w:t>p</w:t>
      </w:r>
      <w:r w:rsidRPr="00436F11">
        <w:rPr>
          <w:lang w:val="en-AU"/>
        </w:rPr>
        <w:t>revent construction plant from using the pavement during the seven day curing period apart from that required to maintain and cure the surface; and</w:t>
      </w:r>
    </w:p>
    <w:p w14:paraId="6B2471C7" w14:textId="77777777" w:rsidR="00DC2BDB" w:rsidRDefault="00DC2BDB" w:rsidP="007E63F5">
      <w:pPr>
        <w:tabs>
          <w:tab w:val="right" w:pos="454"/>
          <w:tab w:val="right" w:pos="709"/>
          <w:tab w:val="left" w:pos="851"/>
        </w:tabs>
        <w:spacing w:before="100"/>
        <w:ind w:left="851" w:hanging="851"/>
        <w:rPr>
          <w:lang w:val="en-AU"/>
        </w:rPr>
      </w:pPr>
      <w:r>
        <w:rPr>
          <w:lang w:val="en-AU"/>
        </w:rPr>
        <w:tab/>
      </w:r>
      <w:r>
        <w:rPr>
          <w:lang w:val="en-AU"/>
        </w:rPr>
        <w:tab/>
        <w:t>(iii)</w:t>
      </w:r>
      <w:r>
        <w:rPr>
          <w:lang w:val="en-AU"/>
        </w:rPr>
        <w:tab/>
      </w:r>
      <w:r w:rsidR="00513ADD">
        <w:rPr>
          <w:lang w:val="en-AU"/>
        </w:rPr>
        <w:t>a</w:t>
      </w:r>
      <w:r>
        <w:rPr>
          <w:lang w:val="en-AU"/>
        </w:rPr>
        <w:t xml:space="preserve">fter the </w:t>
      </w:r>
      <w:r w:rsidR="00436F11">
        <w:rPr>
          <w:lang w:val="en-AU"/>
        </w:rPr>
        <w:t xml:space="preserve">seven </w:t>
      </w:r>
      <w:r>
        <w:rPr>
          <w:lang w:val="en-AU"/>
        </w:rPr>
        <w:t xml:space="preserve">days </w:t>
      </w:r>
      <w:r w:rsidR="00436F11">
        <w:rPr>
          <w:lang w:val="en-AU"/>
        </w:rPr>
        <w:t>cur</w:t>
      </w:r>
      <w:r>
        <w:rPr>
          <w:lang w:val="en-AU"/>
        </w:rPr>
        <w:t>ing period, restrict construction traffic to vehicles with a maximum axle group load of 4 tonne</w:t>
      </w:r>
      <w:r w:rsidR="00436F11">
        <w:rPr>
          <w:lang w:val="en-AU"/>
        </w:rPr>
        <w:t>s</w:t>
      </w:r>
      <w:r>
        <w:rPr>
          <w:lang w:val="en-AU"/>
        </w:rPr>
        <w:t xml:space="preserve"> until asphalt base and intermediate courses are placed (priming, primersealing and asphalt placement activities excepted).</w:t>
      </w:r>
    </w:p>
    <w:p w14:paraId="702DD8E6" w14:textId="77777777" w:rsidR="00DC2BDB" w:rsidRDefault="00DC2BDB" w:rsidP="007E63F5">
      <w:pPr>
        <w:spacing w:line="180" w:lineRule="exact"/>
        <w:rPr>
          <w:lang w:val="en-AU"/>
        </w:rPr>
      </w:pPr>
    </w:p>
    <w:p w14:paraId="29E6E844" w14:textId="77777777" w:rsidR="00DC2BDB" w:rsidRDefault="00DC2BDB" w:rsidP="007E63F5">
      <w:pPr>
        <w:spacing w:line="180" w:lineRule="exact"/>
        <w:rPr>
          <w:lang w:val="en-AU"/>
        </w:rPr>
      </w:pPr>
    </w:p>
    <w:p w14:paraId="1A694429" w14:textId="77777777" w:rsidR="00DC2BDB" w:rsidRDefault="00DC2BDB" w:rsidP="0027402B">
      <w:pPr>
        <w:pStyle w:val="Heading3SS"/>
      </w:pPr>
      <w:r>
        <w:t>306.12</w:t>
      </w:r>
      <w:r>
        <w:tab/>
        <w:t>SCHEDULE OF DETAILS</w:t>
      </w:r>
    </w:p>
    <w:p w14:paraId="536888FF" w14:textId="77777777" w:rsidR="00DC2BDB" w:rsidRDefault="00DC2BDB" w:rsidP="00911235">
      <w:pPr>
        <w:spacing w:line="160" w:lineRule="exact"/>
        <w:rPr>
          <w:lang w:val="en-AU"/>
        </w:rPr>
      </w:pPr>
    </w:p>
    <w:p w14:paraId="6C5C9000" w14:textId="77777777" w:rsidR="00DC2BDB" w:rsidRPr="00012A11" w:rsidRDefault="00DC2BDB" w:rsidP="006B0244">
      <w:pPr>
        <w:pStyle w:val="Heading5SS"/>
        <w:tabs>
          <w:tab w:val="left" w:pos="0"/>
        </w:tabs>
        <w:spacing w:after="100"/>
        <w:ind w:hanging="1021"/>
      </w:pPr>
      <w:r w:rsidRPr="00012A11">
        <w:t>***</w:t>
      </w:r>
      <w:r w:rsidRPr="00012A11">
        <w:tab/>
        <w:t>(a)</w:t>
      </w:r>
      <w:r w:rsidRPr="00012A11">
        <w:tab/>
        <w:t>Requirements for Testing and Acceptance of Compaction (Clause 306.09)</w:t>
      </w:r>
    </w:p>
    <w:tbl>
      <w:tblPr>
        <w:tblW w:w="9214" w:type="dxa"/>
        <w:tblInd w:w="510" w:type="dxa"/>
        <w:tblLayout w:type="fixed"/>
        <w:tblCellMar>
          <w:top w:w="57" w:type="dxa"/>
          <w:left w:w="57" w:type="dxa"/>
          <w:bottom w:w="28" w:type="dxa"/>
          <w:right w:w="57" w:type="dxa"/>
        </w:tblCellMar>
        <w:tblLook w:val="0000" w:firstRow="0" w:lastRow="0" w:firstColumn="0" w:lastColumn="0" w:noHBand="0" w:noVBand="0"/>
      </w:tblPr>
      <w:tblGrid>
        <w:gridCol w:w="4083"/>
        <w:gridCol w:w="1843"/>
        <w:gridCol w:w="1985"/>
        <w:gridCol w:w="1303"/>
      </w:tblGrid>
      <w:tr w:rsidR="00E8129C" w:rsidRPr="00012A11" w14:paraId="243555AC" w14:textId="77777777" w:rsidTr="00911235">
        <w:trPr>
          <w:cantSplit/>
        </w:trPr>
        <w:tc>
          <w:tcPr>
            <w:tcW w:w="4083" w:type="dxa"/>
            <w:tcBorders>
              <w:top w:val="single" w:sz="12" w:space="0" w:color="auto"/>
              <w:left w:val="single" w:sz="12" w:space="0" w:color="auto"/>
              <w:bottom w:val="single" w:sz="12" w:space="0" w:color="auto"/>
              <w:right w:val="single" w:sz="8" w:space="0" w:color="auto"/>
            </w:tcBorders>
            <w:vAlign w:val="center"/>
          </w:tcPr>
          <w:p w14:paraId="360D4962" w14:textId="77777777" w:rsidR="00DC2BDB" w:rsidRPr="00012A11" w:rsidRDefault="00DC2BDB" w:rsidP="00012A11">
            <w:pPr>
              <w:jc w:val="center"/>
              <w:rPr>
                <w:b/>
                <w:lang w:val="en-AU"/>
              </w:rPr>
            </w:pPr>
            <w:r w:rsidRPr="00012A11">
              <w:rPr>
                <w:b/>
                <w:lang w:val="en-AU"/>
              </w:rPr>
              <w:t>Location and Chainage</w:t>
            </w:r>
          </w:p>
        </w:tc>
        <w:tc>
          <w:tcPr>
            <w:tcW w:w="1843" w:type="dxa"/>
            <w:tcBorders>
              <w:top w:val="single" w:sz="12" w:space="0" w:color="auto"/>
              <w:left w:val="single" w:sz="8" w:space="0" w:color="auto"/>
              <w:bottom w:val="single" w:sz="12" w:space="0" w:color="auto"/>
              <w:right w:val="single" w:sz="8" w:space="0" w:color="auto"/>
            </w:tcBorders>
            <w:vAlign w:val="center"/>
          </w:tcPr>
          <w:p w14:paraId="36C51855" w14:textId="77777777" w:rsidR="00DC2BDB" w:rsidRPr="00012A11" w:rsidRDefault="00DC2BDB" w:rsidP="00012A11">
            <w:pPr>
              <w:jc w:val="center"/>
              <w:rPr>
                <w:b/>
                <w:lang w:val="en-AU"/>
              </w:rPr>
            </w:pPr>
            <w:r w:rsidRPr="00012A11">
              <w:rPr>
                <w:b/>
                <w:lang w:val="en-AU"/>
              </w:rPr>
              <w:t>Pavement Design Modulus</w:t>
            </w:r>
          </w:p>
          <w:p w14:paraId="424345A7" w14:textId="77777777" w:rsidR="00DC2BDB" w:rsidRPr="00012A11" w:rsidRDefault="00DC2BDB" w:rsidP="00012A11">
            <w:pPr>
              <w:jc w:val="center"/>
              <w:rPr>
                <w:b/>
                <w:lang w:val="en-AU"/>
              </w:rPr>
            </w:pPr>
            <w:r w:rsidRPr="00012A11">
              <w:rPr>
                <w:b/>
                <w:lang w:val="en-AU"/>
              </w:rPr>
              <w:t>(MPa)</w:t>
            </w:r>
          </w:p>
        </w:tc>
        <w:tc>
          <w:tcPr>
            <w:tcW w:w="1985" w:type="dxa"/>
            <w:tcBorders>
              <w:top w:val="single" w:sz="12" w:space="0" w:color="auto"/>
              <w:left w:val="single" w:sz="8" w:space="0" w:color="auto"/>
              <w:bottom w:val="single" w:sz="12" w:space="0" w:color="auto"/>
              <w:right w:val="single" w:sz="8" w:space="0" w:color="auto"/>
            </w:tcBorders>
            <w:vAlign w:val="center"/>
          </w:tcPr>
          <w:p w14:paraId="29D3EA2A" w14:textId="77777777" w:rsidR="00DC2BDB" w:rsidRPr="00012A11" w:rsidRDefault="00DC2BDB" w:rsidP="00012A11">
            <w:pPr>
              <w:jc w:val="center"/>
              <w:rPr>
                <w:b/>
                <w:lang w:val="en-AU"/>
              </w:rPr>
            </w:pPr>
            <w:r w:rsidRPr="00012A11">
              <w:rPr>
                <w:b/>
                <w:lang w:val="en-AU"/>
              </w:rPr>
              <w:t>Scale of Surface Level Measurement</w:t>
            </w:r>
          </w:p>
          <w:p w14:paraId="41CB2693" w14:textId="77777777" w:rsidR="00DC2BDB" w:rsidRPr="00012A11" w:rsidRDefault="00DC2BDB" w:rsidP="00012A11">
            <w:pPr>
              <w:jc w:val="center"/>
              <w:rPr>
                <w:b/>
                <w:lang w:val="en-AU"/>
              </w:rPr>
            </w:pPr>
            <w:r w:rsidRPr="00012A11">
              <w:rPr>
                <w:b/>
                <w:lang w:val="en-AU"/>
              </w:rPr>
              <w:t>(A, B or C)</w:t>
            </w:r>
          </w:p>
        </w:tc>
        <w:tc>
          <w:tcPr>
            <w:tcW w:w="1303" w:type="dxa"/>
            <w:tcBorders>
              <w:top w:val="single" w:sz="12" w:space="0" w:color="auto"/>
              <w:left w:val="single" w:sz="8" w:space="0" w:color="auto"/>
              <w:bottom w:val="single" w:sz="12" w:space="0" w:color="auto"/>
              <w:right w:val="single" w:sz="12" w:space="0" w:color="auto"/>
            </w:tcBorders>
            <w:vAlign w:val="center"/>
          </w:tcPr>
          <w:p w14:paraId="29939CA9" w14:textId="77777777" w:rsidR="00DC2BDB" w:rsidRPr="00012A11" w:rsidRDefault="00DC2BDB" w:rsidP="00012A11">
            <w:pPr>
              <w:jc w:val="center"/>
              <w:rPr>
                <w:b/>
                <w:lang w:val="en-AU"/>
              </w:rPr>
            </w:pPr>
            <w:r w:rsidRPr="00012A11">
              <w:rPr>
                <w:b/>
                <w:lang w:val="en-AU"/>
              </w:rPr>
              <w:t>Compaction Scale</w:t>
            </w:r>
          </w:p>
          <w:p w14:paraId="1EEDCF45" w14:textId="77777777" w:rsidR="00DC2BDB" w:rsidRPr="00012A11" w:rsidRDefault="00DC2BDB" w:rsidP="00012A11">
            <w:pPr>
              <w:jc w:val="center"/>
              <w:rPr>
                <w:b/>
                <w:lang w:val="en-AU"/>
              </w:rPr>
            </w:pPr>
            <w:r w:rsidRPr="00012A11">
              <w:rPr>
                <w:b/>
                <w:lang w:val="en-AU"/>
              </w:rPr>
              <w:t>(A or B)</w:t>
            </w:r>
          </w:p>
        </w:tc>
      </w:tr>
      <w:tr w:rsidR="00E8129C" w14:paraId="2BF22A90" w14:textId="77777777" w:rsidTr="00911235">
        <w:trPr>
          <w:cantSplit/>
        </w:trPr>
        <w:tc>
          <w:tcPr>
            <w:tcW w:w="4083" w:type="dxa"/>
            <w:tcBorders>
              <w:top w:val="single" w:sz="12" w:space="0" w:color="auto"/>
              <w:left w:val="single" w:sz="12" w:space="0" w:color="auto"/>
              <w:bottom w:val="single" w:sz="8" w:space="0" w:color="auto"/>
              <w:right w:val="single" w:sz="8" w:space="0" w:color="auto"/>
            </w:tcBorders>
          </w:tcPr>
          <w:p w14:paraId="2D246587" w14:textId="77777777" w:rsidR="00DC2BDB" w:rsidRDefault="00DC2BDB" w:rsidP="00012A11">
            <w:pPr>
              <w:rPr>
                <w:lang w:val="en-AU"/>
              </w:rPr>
            </w:pPr>
            <w:r>
              <w:rPr>
                <w:lang w:val="en-AU"/>
              </w:rPr>
              <w:t>##:</w:t>
            </w:r>
          </w:p>
        </w:tc>
        <w:tc>
          <w:tcPr>
            <w:tcW w:w="1843" w:type="dxa"/>
            <w:tcBorders>
              <w:top w:val="single" w:sz="12" w:space="0" w:color="auto"/>
              <w:left w:val="single" w:sz="8" w:space="0" w:color="auto"/>
              <w:bottom w:val="single" w:sz="8" w:space="0" w:color="auto"/>
              <w:right w:val="single" w:sz="8" w:space="0" w:color="auto"/>
            </w:tcBorders>
          </w:tcPr>
          <w:p w14:paraId="6857AECD" w14:textId="77777777" w:rsidR="00DC2BDB" w:rsidRDefault="00DC2BDB" w:rsidP="00012A11">
            <w:pPr>
              <w:jc w:val="center"/>
              <w:rPr>
                <w:lang w:val="en-AU"/>
              </w:rPr>
            </w:pPr>
            <w:r>
              <w:rPr>
                <w:lang w:val="en-AU"/>
              </w:rPr>
              <w:t>##:</w:t>
            </w:r>
          </w:p>
        </w:tc>
        <w:tc>
          <w:tcPr>
            <w:tcW w:w="1985" w:type="dxa"/>
            <w:tcBorders>
              <w:top w:val="single" w:sz="12" w:space="0" w:color="auto"/>
              <w:left w:val="single" w:sz="8" w:space="0" w:color="auto"/>
              <w:bottom w:val="single" w:sz="8" w:space="0" w:color="auto"/>
              <w:right w:val="single" w:sz="8" w:space="0" w:color="auto"/>
            </w:tcBorders>
          </w:tcPr>
          <w:p w14:paraId="06D9E89C" w14:textId="77777777" w:rsidR="00DC2BDB" w:rsidRDefault="00DC2BDB" w:rsidP="00012A11">
            <w:pPr>
              <w:jc w:val="center"/>
              <w:rPr>
                <w:lang w:val="en-AU"/>
              </w:rPr>
            </w:pPr>
            <w:r>
              <w:rPr>
                <w:lang w:val="en-AU"/>
              </w:rPr>
              <w:t>##:</w:t>
            </w:r>
          </w:p>
        </w:tc>
        <w:tc>
          <w:tcPr>
            <w:tcW w:w="1303" w:type="dxa"/>
            <w:tcBorders>
              <w:top w:val="single" w:sz="12" w:space="0" w:color="auto"/>
              <w:left w:val="single" w:sz="8" w:space="0" w:color="auto"/>
              <w:bottom w:val="single" w:sz="8" w:space="0" w:color="auto"/>
              <w:right w:val="single" w:sz="12" w:space="0" w:color="auto"/>
            </w:tcBorders>
          </w:tcPr>
          <w:p w14:paraId="70BD5EFE" w14:textId="77777777" w:rsidR="00DC2BDB" w:rsidRDefault="00DC2BDB" w:rsidP="00012A11">
            <w:pPr>
              <w:jc w:val="center"/>
              <w:rPr>
                <w:lang w:val="en-AU"/>
              </w:rPr>
            </w:pPr>
            <w:r>
              <w:rPr>
                <w:lang w:val="en-AU"/>
              </w:rPr>
              <w:t>##:</w:t>
            </w:r>
          </w:p>
        </w:tc>
      </w:tr>
      <w:tr w:rsidR="00DC2BDB" w14:paraId="76026DD3" w14:textId="77777777" w:rsidTr="00911235">
        <w:trPr>
          <w:cantSplit/>
        </w:trPr>
        <w:tc>
          <w:tcPr>
            <w:tcW w:w="4083" w:type="dxa"/>
            <w:tcBorders>
              <w:top w:val="single" w:sz="8" w:space="0" w:color="auto"/>
              <w:left w:val="single" w:sz="12" w:space="0" w:color="auto"/>
              <w:bottom w:val="single" w:sz="8" w:space="0" w:color="auto"/>
              <w:right w:val="single" w:sz="8" w:space="0" w:color="auto"/>
            </w:tcBorders>
          </w:tcPr>
          <w:p w14:paraId="0457AC8F" w14:textId="77777777" w:rsidR="00DC2BDB" w:rsidRDefault="00DC2BDB" w:rsidP="00012A11">
            <w:pPr>
              <w:rPr>
                <w:lang w:val="en-AU"/>
              </w:rPr>
            </w:pPr>
          </w:p>
        </w:tc>
        <w:tc>
          <w:tcPr>
            <w:tcW w:w="1843" w:type="dxa"/>
            <w:tcBorders>
              <w:top w:val="single" w:sz="8" w:space="0" w:color="auto"/>
              <w:left w:val="single" w:sz="8" w:space="0" w:color="auto"/>
              <w:bottom w:val="single" w:sz="8" w:space="0" w:color="auto"/>
              <w:right w:val="single" w:sz="8" w:space="0" w:color="auto"/>
            </w:tcBorders>
          </w:tcPr>
          <w:p w14:paraId="3283A00C" w14:textId="77777777" w:rsidR="00DC2BDB" w:rsidRDefault="00DC2BDB" w:rsidP="00012A11">
            <w:pPr>
              <w:jc w:val="center"/>
              <w:rPr>
                <w:lang w:val="en-AU"/>
              </w:rPr>
            </w:pPr>
          </w:p>
        </w:tc>
        <w:tc>
          <w:tcPr>
            <w:tcW w:w="1985" w:type="dxa"/>
            <w:tcBorders>
              <w:top w:val="single" w:sz="8" w:space="0" w:color="auto"/>
              <w:left w:val="single" w:sz="8" w:space="0" w:color="auto"/>
              <w:bottom w:val="single" w:sz="8" w:space="0" w:color="auto"/>
              <w:right w:val="single" w:sz="8" w:space="0" w:color="auto"/>
            </w:tcBorders>
          </w:tcPr>
          <w:p w14:paraId="7E9FCBBD" w14:textId="77777777" w:rsidR="00DC2BDB" w:rsidRDefault="00DC2BDB" w:rsidP="00012A11">
            <w:pPr>
              <w:jc w:val="center"/>
              <w:rPr>
                <w:highlight w:val="yellow"/>
                <w:lang w:val="en-AU"/>
              </w:rPr>
            </w:pPr>
          </w:p>
        </w:tc>
        <w:tc>
          <w:tcPr>
            <w:tcW w:w="1303" w:type="dxa"/>
            <w:tcBorders>
              <w:top w:val="single" w:sz="8" w:space="0" w:color="auto"/>
              <w:left w:val="single" w:sz="8" w:space="0" w:color="auto"/>
              <w:bottom w:val="single" w:sz="8" w:space="0" w:color="auto"/>
              <w:right w:val="single" w:sz="12" w:space="0" w:color="auto"/>
            </w:tcBorders>
          </w:tcPr>
          <w:p w14:paraId="53581AA1" w14:textId="77777777" w:rsidR="00DC2BDB" w:rsidRDefault="00DC2BDB" w:rsidP="00012A11">
            <w:pPr>
              <w:jc w:val="center"/>
              <w:rPr>
                <w:lang w:val="en-AU"/>
              </w:rPr>
            </w:pPr>
          </w:p>
        </w:tc>
      </w:tr>
      <w:tr w:rsidR="00DC2BDB" w14:paraId="08D5C94F" w14:textId="77777777" w:rsidTr="00911235">
        <w:trPr>
          <w:cantSplit/>
        </w:trPr>
        <w:tc>
          <w:tcPr>
            <w:tcW w:w="4083" w:type="dxa"/>
            <w:tcBorders>
              <w:top w:val="single" w:sz="8" w:space="0" w:color="auto"/>
              <w:left w:val="single" w:sz="12" w:space="0" w:color="auto"/>
              <w:bottom w:val="single" w:sz="12" w:space="0" w:color="auto"/>
              <w:right w:val="single" w:sz="8" w:space="0" w:color="auto"/>
            </w:tcBorders>
          </w:tcPr>
          <w:p w14:paraId="563C219A" w14:textId="77777777" w:rsidR="00DC2BDB" w:rsidRDefault="00DC2BDB" w:rsidP="00012A11">
            <w:pPr>
              <w:rPr>
                <w:lang w:val="en-AU"/>
              </w:rPr>
            </w:pPr>
          </w:p>
        </w:tc>
        <w:tc>
          <w:tcPr>
            <w:tcW w:w="1843" w:type="dxa"/>
            <w:tcBorders>
              <w:top w:val="single" w:sz="8" w:space="0" w:color="auto"/>
              <w:left w:val="single" w:sz="8" w:space="0" w:color="auto"/>
              <w:bottom w:val="single" w:sz="12" w:space="0" w:color="auto"/>
              <w:right w:val="single" w:sz="8" w:space="0" w:color="auto"/>
            </w:tcBorders>
          </w:tcPr>
          <w:p w14:paraId="5BE1E4CA" w14:textId="77777777" w:rsidR="00DC2BDB" w:rsidRDefault="00DC2BDB" w:rsidP="00012A11">
            <w:pPr>
              <w:jc w:val="center"/>
              <w:rPr>
                <w:lang w:val="en-AU"/>
              </w:rPr>
            </w:pPr>
          </w:p>
        </w:tc>
        <w:tc>
          <w:tcPr>
            <w:tcW w:w="1985" w:type="dxa"/>
            <w:tcBorders>
              <w:top w:val="single" w:sz="8" w:space="0" w:color="auto"/>
              <w:left w:val="single" w:sz="8" w:space="0" w:color="auto"/>
              <w:bottom w:val="single" w:sz="12" w:space="0" w:color="auto"/>
              <w:right w:val="single" w:sz="8" w:space="0" w:color="auto"/>
            </w:tcBorders>
          </w:tcPr>
          <w:p w14:paraId="0412FD0B" w14:textId="77777777" w:rsidR="00DC2BDB" w:rsidRDefault="00DC2BDB" w:rsidP="00012A11">
            <w:pPr>
              <w:jc w:val="center"/>
              <w:rPr>
                <w:highlight w:val="yellow"/>
                <w:lang w:val="en-AU"/>
              </w:rPr>
            </w:pPr>
          </w:p>
        </w:tc>
        <w:tc>
          <w:tcPr>
            <w:tcW w:w="1303" w:type="dxa"/>
            <w:tcBorders>
              <w:top w:val="single" w:sz="8" w:space="0" w:color="auto"/>
              <w:left w:val="single" w:sz="8" w:space="0" w:color="auto"/>
              <w:bottom w:val="single" w:sz="12" w:space="0" w:color="auto"/>
              <w:right w:val="single" w:sz="12" w:space="0" w:color="auto"/>
            </w:tcBorders>
          </w:tcPr>
          <w:p w14:paraId="6782326F" w14:textId="77777777" w:rsidR="00DC2BDB" w:rsidRDefault="00DC2BDB" w:rsidP="00012A11">
            <w:pPr>
              <w:jc w:val="center"/>
              <w:rPr>
                <w:lang w:val="en-AU"/>
              </w:rPr>
            </w:pPr>
          </w:p>
        </w:tc>
      </w:tr>
    </w:tbl>
    <w:p w14:paraId="0C988E47" w14:textId="77777777" w:rsidR="00DC2BDB" w:rsidRDefault="00DC2BDB" w:rsidP="00411692">
      <w:pPr>
        <w:spacing w:line="240" w:lineRule="exact"/>
        <w:rPr>
          <w:lang w:val="en-AU"/>
        </w:rPr>
      </w:pPr>
    </w:p>
    <w:p w14:paraId="53970492" w14:textId="77777777" w:rsidR="00DC2BDB" w:rsidRDefault="00DC2BDB">
      <w:pPr>
        <w:tabs>
          <w:tab w:val="left" w:pos="0"/>
          <w:tab w:val="left" w:pos="426"/>
        </w:tabs>
        <w:ind w:left="426" w:hanging="993"/>
        <w:rPr>
          <w:lang w:val="en-AU"/>
        </w:rPr>
      </w:pPr>
      <w:r>
        <w:rPr>
          <w:lang w:val="en-AU"/>
        </w:rPr>
        <w:t>***</w:t>
      </w:r>
      <w:r>
        <w:rPr>
          <w:lang w:val="en-AU"/>
        </w:rPr>
        <w:tab/>
        <w:t>(b)</w:t>
      </w:r>
      <w:r>
        <w:rPr>
          <w:lang w:val="en-AU"/>
        </w:rPr>
        <w:tab/>
        <w:t xml:space="preserve">Unit rate of payment to be used to calculate the value of the work represented by the lot for application of payment deduction formulae specified in Clauses 306.03(b)(i), 306.09(b) and </w:t>
      </w:r>
      <w:r w:rsidR="00E97FC9">
        <w:rPr>
          <w:lang w:val="en-AU"/>
        </w:rPr>
        <w:t>306.09</w:t>
      </w:r>
      <w:r>
        <w:rPr>
          <w:lang w:val="en-AU"/>
        </w:rPr>
        <w:t>(c) shall be $##:/m</w:t>
      </w:r>
      <w:r>
        <w:rPr>
          <w:vertAlign w:val="superscript"/>
          <w:lang w:val="en-AU"/>
        </w:rPr>
        <w:t>3</w:t>
      </w:r>
      <w:r>
        <w:rPr>
          <w:lang w:val="en-AU"/>
        </w:rPr>
        <w:t>.</w:t>
      </w:r>
    </w:p>
    <w:p w14:paraId="63973984" w14:textId="77777777" w:rsidR="00DC2BDB" w:rsidRDefault="00B612DE" w:rsidP="00E97FC9">
      <w:pPr>
        <w:rPr>
          <w:noProof/>
          <w:snapToGrid/>
        </w:rPr>
      </w:pPr>
      <w:r>
        <w:rPr>
          <w:noProof/>
          <w:snapToGrid/>
          <w:lang w:val="en-AU" w:eastAsia="en-AU"/>
        </w:rPr>
        <w:pict w14:anchorId="49005FF1">
          <v:shape id="_x0000_s1056" type="#_x0000_t202" style="position:absolute;margin-left:0;margin-top:779.65pt;width:481.9pt;height:36.85pt;z-index:-251655680;mso-wrap-distance-top:5.65pt;mso-position-horizontal:center;mso-position-horizontal-relative:page;mso-position-vertical-relative:page" stroked="f">
            <v:textbox style="mso-next-textbox:#_x0000_s1056" inset="0,,0">
              <w:txbxContent>
                <w:p w14:paraId="68C930A1" w14:textId="77777777" w:rsidR="00411692" w:rsidRDefault="00411692" w:rsidP="000A7774">
                  <w:pPr>
                    <w:pBdr>
                      <w:top w:val="single" w:sz="6" w:space="1" w:color="000000"/>
                    </w:pBdr>
                    <w:spacing w:line="60" w:lineRule="exact"/>
                    <w:jc w:val="right"/>
                    <w:rPr>
                      <w:b/>
                    </w:rPr>
                  </w:pPr>
                </w:p>
                <w:p w14:paraId="095B8D2C" w14:textId="10B67269" w:rsidR="00411692" w:rsidRDefault="00411692" w:rsidP="000A7774">
                  <w:pPr>
                    <w:pBdr>
                      <w:top w:val="single" w:sz="6" w:space="1" w:color="000000"/>
                    </w:pBdr>
                    <w:jc w:val="right"/>
                  </w:pPr>
                  <w:r>
                    <w:rPr>
                      <w:b/>
                    </w:rPr>
                    <w:t>©</w:t>
                  </w:r>
                  <w:r>
                    <w:t xml:space="preserve"> </w:t>
                  </w:r>
                  <w:r w:rsidR="00B612DE">
                    <w:t xml:space="preserve">Department of </w:t>
                  </w:r>
                  <w:proofErr w:type="gramStart"/>
                  <w:r w:rsidR="00B612DE">
                    <w:t>Transport</w:t>
                  </w:r>
                  <w:r>
                    <w:t xml:space="preserve">  </w:t>
                  </w:r>
                  <w:r w:rsidR="009A3C43">
                    <w:t>October</w:t>
                  </w:r>
                  <w:proofErr w:type="gramEnd"/>
                  <w:r w:rsidR="009A3C43">
                    <w:t xml:space="preserve"> 2019</w:t>
                  </w:r>
                </w:p>
                <w:p w14:paraId="18438E0E" w14:textId="77777777" w:rsidR="00411692" w:rsidRDefault="00411692" w:rsidP="000A7774">
                  <w:pPr>
                    <w:jc w:val="right"/>
                  </w:pPr>
                  <w:r>
                    <w:t xml:space="preserve">Section 306 (Page </w:t>
                  </w:r>
                  <w:r w:rsidR="00AD4F9C">
                    <w:t>7 of 7)</w:t>
                  </w:r>
                </w:p>
                <w:p w14:paraId="72AD63FC" w14:textId="77777777" w:rsidR="00411692" w:rsidRDefault="00411692" w:rsidP="000A7774"/>
              </w:txbxContent>
            </v:textbox>
            <w10:wrap anchorx="page" anchory="page"/>
            <w10:anchorlock/>
          </v:shape>
        </w:pict>
      </w:r>
    </w:p>
    <w:sectPr w:rsidR="00DC2BDB" w:rsidSect="0095214A">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56EC" w14:textId="77777777" w:rsidR="0068502C" w:rsidRDefault="0068502C">
      <w:r>
        <w:separator/>
      </w:r>
    </w:p>
  </w:endnote>
  <w:endnote w:type="continuationSeparator" w:id="0">
    <w:p w14:paraId="1674C6D3" w14:textId="77777777" w:rsidR="0068502C" w:rsidRDefault="0068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D8F39" w14:textId="77777777" w:rsidR="0068502C" w:rsidRDefault="0068502C">
      <w:r>
        <w:separator/>
      </w:r>
    </w:p>
  </w:footnote>
  <w:footnote w:type="continuationSeparator" w:id="0">
    <w:p w14:paraId="223876FF" w14:textId="77777777" w:rsidR="0068502C" w:rsidRDefault="0068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F951" w14:textId="69DFA715" w:rsidR="00411692" w:rsidRDefault="00B612DE" w:rsidP="009D1611">
    <w:pPr>
      <w:pBdr>
        <w:bottom w:val="single" w:sz="8" w:space="1" w:color="auto"/>
      </w:pBdr>
      <w:jc w:val="right"/>
      <w:rPr>
        <w:lang w:val="en-AU"/>
      </w:rPr>
    </w:pPr>
    <w:r>
      <w:t>Department of Transport</w:t>
    </w:r>
  </w:p>
  <w:p w14:paraId="22DB5B0A" w14:textId="77777777" w:rsidR="00411692" w:rsidRDefault="00411692">
    <w:pPr>
      <w:spacing w:line="19" w:lineRule="exact"/>
      <w:jc w:val="right"/>
      <w:rPr>
        <w:lang w:val="en-AU"/>
      </w:rPr>
    </w:pPr>
  </w:p>
  <w:p w14:paraId="54405477" w14:textId="77777777" w:rsidR="00411692" w:rsidRDefault="00411692">
    <w:pP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A2464"/>
    <w:multiLevelType w:val="singleLevel"/>
    <w:tmpl w:val="12302790"/>
    <w:lvl w:ilvl="0">
      <w:start w:val="1"/>
      <w:numFmt w:val="bullet"/>
      <w:lvlText w:val=""/>
      <w:lvlJc w:val="left"/>
      <w:pPr>
        <w:tabs>
          <w:tab w:val="num" w:pos="927"/>
        </w:tabs>
        <w:ind w:left="340" w:firstLine="227"/>
      </w:pPr>
      <w:rPr>
        <w:rFonts w:ascii="Symbol" w:hAnsi="Symbol" w:hint="default"/>
      </w:rPr>
    </w:lvl>
  </w:abstractNum>
  <w:abstractNum w:abstractNumId="1" w15:restartNumberingAfterBreak="0">
    <w:nsid w:val="401A71A4"/>
    <w:multiLevelType w:val="multilevel"/>
    <w:tmpl w:val="2E92EE16"/>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15:restartNumberingAfterBreak="0">
    <w:nsid w:val="43491188"/>
    <w:multiLevelType w:val="singleLevel"/>
    <w:tmpl w:val="12302790"/>
    <w:lvl w:ilvl="0">
      <w:start w:val="1"/>
      <w:numFmt w:val="bullet"/>
      <w:lvlText w:val=""/>
      <w:lvlJc w:val="left"/>
      <w:pPr>
        <w:tabs>
          <w:tab w:val="num" w:pos="927"/>
        </w:tabs>
        <w:ind w:left="340" w:firstLine="227"/>
      </w:pPr>
      <w:rPr>
        <w:rFonts w:ascii="Symbol" w:hAnsi="Symbol" w:hint="default"/>
      </w:rPr>
    </w:lvl>
  </w:abstractNum>
  <w:abstractNum w:abstractNumId="3" w15:restartNumberingAfterBreak="0">
    <w:nsid w:val="59A27029"/>
    <w:multiLevelType w:val="multilevel"/>
    <w:tmpl w:val="2E92EE16"/>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lvlText w:val="%1%3."/>
      <w:lvlJc w:val="left"/>
      <w:pPr>
        <w:tabs>
          <w:tab w:val="num" w:pos="567"/>
        </w:tabs>
        <w:ind w:left="0" w:firstLine="0"/>
      </w:pPr>
      <w:rPr>
        <w:rFonts w:hint="default"/>
      </w:rPr>
    </w:lvl>
    <w:lvl w:ilvl="3">
      <w:start w:val="1"/>
      <w:numFmt w:val="decimal"/>
      <w:lvlText w:val="%3.%4"/>
      <w:lvlJc w:val="left"/>
      <w:pPr>
        <w:tabs>
          <w:tab w:val="num" w:pos="567"/>
        </w:tabs>
        <w:ind w:left="567" w:hanging="567"/>
      </w:pPr>
      <w:rPr>
        <w:rFonts w:hint="default"/>
      </w:rPr>
    </w:lvl>
    <w:lvl w:ilvl="4">
      <w:start w:val="1"/>
      <w:numFmt w:val="lowerLetter"/>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4" w15:restartNumberingAfterBreak="0">
    <w:nsid w:val="68D342AE"/>
    <w:multiLevelType w:val="hybridMultilevel"/>
    <w:tmpl w:val="A29604B6"/>
    <w:lvl w:ilvl="0" w:tplc="547C72E2">
      <w:start w:val="2"/>
      <w:numFmt w:val="lowerRoman"/>
      <w:lvlText w:val="(%1)"/>
      <w:lvlJc w:val="left"/>
      <w:pPr>
        <w:tabs>
          <w:tab w:val="num" w:pos="1185"/>
        </w:tabs>
        <w:ind w:left="1185" w:hanging="72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num w:numId="1">
    <w:abstractNumId w:val="0"/>
  </w:num>
  <w:num w:numId="2">
    <w:abstractNumId w:val="2"/>
  </w:num>
  <w:num w:numId="3">
    <w:abstractNumId w:val="4"/>
  </w:num>
  <w:num w:numId="4">
    <w:abstractNumId w:val="1"/>
  </w:num>
  <w:num w:numId="5">
    <w:abstractNumId w:val="1"/>
  </w:num>
  <w:num w:numId="6">
    <w:abstractNumId w:val="1"/>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E4D"/>
    <w:rsid w:val="00012A11"/>
    <w:rsid w:val="000631F6"/>
    <w:rsid w:val="00065AB8"/>
    <w:rsid w:val="00087AB6"/>
    <w:rsid w:val="000A7774"/>
    <w:rsid w:val="000D2180"/>
    <w:rsid w:val="000F214C"/>
    <w:rsid w:val="000F70B1"/>
    <w:rsid w:val="00124CE2"/>
    <w:rsid w:val="00150F09"/>
    <w:rsid w:val="001540A4"/>
    <w:rsid w:val="00192DA0"/>
    <w:rsid w:val="001A6F67"/>
    <w:rsid w:val="0021397D"/>
    <w:rsid w:val="00217E09"/>
    <w:rsid w:val="0022009C"/>
    <w:rsid w:val="00231E17"/>
    <w:rsid w:val="002566CA"/>
    <w:rsid w:val="0026277D"/>
    <w:rsid w:val="002709C7"/>
    <w:rsid w:val="0027402B"/>
    <w:rsid w:val="002A4799"/>
    <w:rsid w:val="002A6751"/>
    <w:rsid w:val="002A7441"/>
    <w:rsid w:val="002A7D56"/>
    <w:rsid w:val="002B563A"/>
    <w:rsid w:val="002F556B"/>
    <w:rsid w:val="003025D0"/>
    <w:rsid w:val="00307AC8"/>
    <w:rsid w:val="00317576"/>
    <w:rsid w:val="00326262"/>
    <w:rsid w:val="00375C44"/>
    <w:rsid w:val="00380C63"/>
    <w:rsid w:val="0038694E"/>
    <w:rsid w:val="00390376"/>
    <w:rsid w:val="003916A4"/>
    <w:rsid w:val="003B5D8A"/>
    <w:rsid w:val="003C4584"/>
    <w:rsid w:val="003C700A"/>
    <w:rsid w:val="003E53F3"/>
    <w:rsid w:val="003E5B5E"/>
    <w:rsid w:val="003F02E8"/>
    <w:rsid w:val="00411692"/>
    <w:rsid w:val="0041316B"/>
    <w:rsid w:val="00421D3F"/>
    <w:rsid w:val="00425E47"/>
    <w:rsid w:val="00436F11"/>
    <w:rsid w:val="004377BA"/>
    <w:rsid w:val="00437BF2"/>
    <w:rsid w:val="00454D59"/>
    <w:rsid w:val="00476172"/>
    <w:rsid w:val="00492B2D"/>
    <w:rsid w:val="00496A02"/>
    <w:rsid w:val="004A6680"/>
    <w:rsid w:val="004C0F19"/>
    <w:rsid w:val="004C0FA7"/>
    <w:rsid w:val="004D0CEA"/>
    <w:rsid w:val="004F2A12"/>
    <w:rsid w:val="00502442"/>
    <w:rsid w:val="00513ADD"/>
    <w:rsid w:val="00531000"/>
    <w:rsid w:val="00553595"/>
    <w:rsid w:val="00553D99"/>
    <w:rsid w:val="0057371A"/>
    <w:rsid w:val="005745BA"/>
    <w:rsid w:val="00586B8E"/>
    <w:rsid w:val="00594406"/>
    <w:rsid w:val="005A5C6E"/>
    <w:rsid w:val="005B1670"/>
    <w:rsid w:val="005D257E"/>
    <w:rsid w:val="005D371E"/>
    <w:rsid w:val="005D3839"/>
    <w:rsid w:val="00614435"/>
    <w:rsid w:val="00650E4D"/>
    <w:rsid w:val="00671B88"/>
    <w:rsid w:val="0068502C"/>
    <w:rsid w:val="006938C6"/>
    <w:rsid w:val="006A62EB"/>
    <w:rsid w:val="006B0244"/>
    <w:rsid w:val="006B4FF3"/>
    <w:rsid w:val="006B78DE"/>
    <w:rsid w:val="006C6C2C"/>
    <w:rsid w:val="006E7C90"/>
    <w:rsid w:val="00711222"/>
    <w:rsid w:val="0071205D"/>
    <w:rsid w:val="007463E5"/>
    <w:rsid w:val="0077488A"/>
    <w:rsid w:val="00796A97"/>
    <w:rsid w:val="007C1127"/>
    <w:rsid w:val="007E63F5"/>
    <w:rsid w:val="007F1094"/>
    <w:rsid w:val="007F51FC"/>
    <w:rsid w:val="007F79AF"/>
    <w:rsid w:val="008209C9"/>
    <w:rsid w:val="00827715"/>
    <w:rsid w:val="008311D8"/>
    <w:rsid w:val="00836D0F"/>
    <w:rsid w:val="00842F82"/>
    <w:rsid w:val="00850C4D"/>
    <w:rsid w:val="00883452"/>
    <w:rsid w:val="00897B1A"/>
    <w:rsid w:val="008A5EE6"/>
    <w:rsid w:val="008E1432"/>
    <w:rsid w:val="008E21B2"/>
    <w:rsid w:val="008F2FAE"/>
    <w:rsid w:val="008F47E9"/>
    <w:rsid w:val="00903173"/>
    <w:rsid w:val="00907354"/>
    <w:rsid w:val="009074EE"/>
    <w:rsid w:val="00911235"/>
    <w:rsid w:val="00924210"/>
    <w:rsid w:val="00936CC4"/>
    <w:rsid w:val="0095214A"/>
    <w:rsid w:val="00975EDB"/>
    <w:rsid w:val="009A3C43"/>
    <w:rsid w:val="009D1611"/>
    <w:rsid w:val="009D4F2E"/>
    <w:rsid w:val="00A03080"/>
    <w:rsid w:val="00A0566E"/>
    <w:rsid w:val="00A068E4"/>
    <w:rsid w:val="00A120D3"/>
    <w:rsid w:val="00A1570D"/>
    <w:rsid w:val="00A16DFC"/>
    <w:rsid w:val="00A26275"/>
    <w:rsid w:val="00A448CB"/>
    <w:rsid w:val="00A64AB7"/>
    <w:rsid w:val="00A67641"/>
    <w:rsid w:val="00A74F94"/>
    <w:rsid w:val="00A8503E"/>
    <w:rsid w:val="00A952FE"/>
    <w:rsid w:val="00A97CCF"/>
    <w:rsid w:val="00AB2EF6"/>
    <w:rsid w:val="00AC6F3C"/>
    <w:rsid w:val="00AD0A2F"/>
    <w:rsid w:val="00AD4F9C"/>
    <w:rsid w:val="00AE617E"/>
    <w:rsid w:val="00AF3CCD"/>
    <w:rsid w:val="00AF5B5C"/>
    <w:rsid w:val="00B03E0D"/>
    <w:rsid w:val="00B12682"/>
    <w:rsid w:val="00B26D1C"/>
    <w:rsid w:val="00B33B66"/>
    <w:rsid w:val="00B34F7E"/>
    <w:rsid w:val="00B53EF9"/>
    <w:rsid w:val="00B612DE"/>
    <w:rsid w:val="00B637F2"/>
    <w:rsid w:val="00BA6BA1"/>
    <w:rsid w:val="00BC6D55"/>
    <w:rsid w:val="00BD5FC6"/>
    <w:rsid w:val="00BE55D9"/>
    <w:rsid w:val="00BF2707"/>
    <w:rsid w:val="00C05C9E"/>
    <w:rsid w:val="00C241F1"/>
    <w:rsid w:val="00C318D4"/>
    <w:rsid w:val="00C724BE"/>
    <w:rsid w:val="00C72FCF"/>
    <w:rsid w:val="00CB44AB"/>
    <w:rsid w:val="00CE0A75"/>
    <w:rsid w:val="00CE4E44"/>
    <w:rsid w:val="00CE7E76"/>
    <w:rsid w:val="00D01641"/>
    <w:rsid w:val="00D0491F"/>
    <w:rsid w:val="00D16EDC"/>
    <w:rsid w:val="00D17275"/>
    <w:rsid w:val="00D24ACC"/>
    <w:rsid w:val="00D409C3"/>
    <w:rsid w:val="00D466E4"/>
    <w:rsid w:val="00D6069F"/>
    <w:rsid w:val="00D61ADF"/>
    <w:rsid w:val="00D65382"/>
    <w:rsid w:val="00D72783"/>
    <w:rsid w:val="00D77B68"/>
    <w:rsid w:val="00D77EEC"/>
    <w:rsid w:val="00D80FD7"/>
    <w:rsid w:val="00DB1428"/>
    <w:rsid w:val="00DC2BDB"/>
    <w:rsid w:val="00E14BE4"/>
    <w:rsid w:val="00E1551A"/>
    <w:rsid w:val="00E22B2A"/>
    <w:rsid w:val="00E34485"/>
    <w:rsid w:val="00E8129C"/>
    <w:rsid w:val="00E97FC9"/>
    <w:rsid w:val="00EA3219"/>
    <w:rsid w:val="00EB76EB"/>
    <w:rsid w:val="00EC33AD"/>
    <w:rsid w:val="00EF162B"/>
    <w:rsid w:val="00F031C5"/>
    <w:rsid w:val="00F0464A"/>
    <w:rsid w:val="00F3317E"/>
    <w:rsid w:val="00F424C3"/>
    <w:rsid w:val="00F504DD"/>
    <w:rsid w:val="00F513DD"/>
    <w:rsid w:val="00F516EF"/>
    <w:rsid w:val="00F9723B"/>
    <w:rsid w:val="00FB794C"/>
    <w:rsid w:val="00FC13A2"/>
    <w:rsid w:val="00FD2DFE"/>
    <w:rsid w:val="00FD6AE1"/>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7169"/>
    <o:shapelayout v:ext="edit">
      <o:idmap v:ext="edit" data="1"/>
    </o:shapelayout>
  </w:shapeDefaults>
  <w:decimalSymbol w:val="."/>
  <w:listSeparator w:val=","/>
  <w14:docId w14:val="08C027A1"/>
  <w15:chartTrackingRefBased/>
  <w15:docId w15:val="{78555A6F-2286-461C-9093-AC85CE64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376"/>
    <w:pPr>
      <w:widowControl w:val="0"/>
    </w:pPr>
    <w:rPr>
      <w:rFonts w:ascii="Arial" w:hAnsi="Arial"/>
      <w:snapToGrid w:val="0"/>
      <w:lang w:val="en-US" w:eastAsia="en-US"/>
    </w:rPr>
  </w:style>
  <w:style w:type="paragraph" w:styleId="Heading1">
    <w:name w:val="heading 1"/>
    <w:basedOn w:val="Normal"/>
    <w:next w:val="Normal"/>
    <w:qFormat/>
    <w:rsid w:val="00711222"/>
    <w:pPr>
      <w:keepNext/>
      <w:widowControl/>
      <w:outlineLvl w:val="0"/>
    </w:pPr>
    <w:rPr>
      <w:rFonts w:cs="Arial"/>
      <w:b/>
      <w:bCs/>
      <w:snapToGrid/>
      <w:sz w:val="28"/>
      <w:szCs w:val="32"/>
      <w:lang w:val="en-AU"/>
    </w:rPr>
  </w:style>
  <w:style w:type="paragraph" w:styleId="Heading2">
    <w:name w:val="heading 2"/>
    <w:basedOn w:val="Normal"/>
    <w:next w:val="Normal"/>
    <w:qFormat/>
    <w:rsid w:val="00711222"/>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711222"/>
    <w:pPr>
      <w:keepNext/>
      <w:widowControl/>
      <w:numPr>
        <w:ilvl w:val="2"/>
        <w:numId w:val="7"/>
      </w:numPr>
      <w:outlineLvl w:val="2"/>
    </w:pPr>
    <w:rPr>
      <w:rFonts w:cs="Arial"/>
      <w:b/>
      <w:bCs/>
      <w:snapToGrid/>
      <w:szCs w:val="26"/>
      <w:lang w:val="en-AU"/>
    </w:rPr>
  </w:style>
  <w:style w:type="paragraph" w:styleId="Heading4">
    <w:name w:val="heading 4"/>
    <w:basedOn w:val="Normal"/>
    <w:next w:val="Normal"/>
    <w:qFormat/>
    <w:rsid w:val="00711222"/>
    <w:pPr>
      <w:keepNext/>
      <w:widowControl/>
      <w:numPr>
        <w:ilvl w:val="3"/>
        <w:numId w:val="7"/>
      </w:numPr>
      <w:spacing w:after="200"/>
      <w:outlineLvl w:val="3"/>
    </w:pPr>
    <w:rPr>
      <w:b/>
      <w:bCs/>
      <w:snapToGrid/>
      <w:szCs w:val="28"/>
      <w:lang w:val="en-AU"/>
    </w:rPr>
  </w:style>
  <w:style w:type="paragraph" w:styleId="Heading5">
    <w:name w:val="heading 5"/>
    <w:basedOn w:val="Heading4"/>
    <w:next w:val="Normal"/>
    <w:qFormat/>
    <w:rsid w:val="00711222"/>
    <w:pPr>
      <w:numPr>
        <w:ilvl w:val="4"/>
      </w:numPr>
      <w:outlineLvl w:val="4"/>
    </w:pPr>
    <w:rPr>
      <w:b w:val="0"/>
      <w:bCs w:val="0"/>
      <w:szCs w:val="22"/>
    </w:rPr>
  </w:style>
  <w:style w:type="paragraph" w:styleId="Heading6">
    <w:name w:val="heading 6"/>
    <w:basedOn w:val="Normal"/>
    <w:next w:val="Normal"/>
    <w:qFormat/>
    <w:rsid w:val="00711222"/>
    <w:pPr>
      <w:widowControl/>
      <w:numPr>
        <w:ilvl w:val="5"/>
        <w:numId w:val="7"/>
      </w:numPr>
      <w:spacing w:after="200"/>
      <w:outlineLvl w:val="5"/>
    </w:pPr>
    <w:rPr>
      <w:bCs/>
      <w:snapToGrid/>
      <w:szCs w:val="22"/>
      <w:lang w:val="en-AU"/>
    </w:rPr>
  </w:style>
  <w:style w:type="paragraph" w:styleId="Heading7">
    <w:name w:val="heading 7"/>
    <w:basedOn w:val="Normal"/>
    <w:next w:val="Normal"/>
    <w:qFormat/>
    <w:rsid w:val="00711222"/>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D1611"/>
    <w:pPr>
      <w:tabs>
        <w:tab w:val="center" w:pos="4153"/>
        <w:tab w:val="right" w:pos="8306"/>
      </w:tabs>
    </w:pPr>
  </w:style>
  <w:style w:type="paragraph" w:styleId="Footer">
    <w:name w:val="footer"/>
    <w:basedOn w:val="Normal"/>
    <w:rsid w:val="009D1611"/>
    <w:pPr>
      <w:tabs>
        <w:tab w:val="center" w:pos="4153"/>
        <w:tab w:val="right" w:pos="8306"/>
      </w:tabs>
    </w:pPr>
  </w:style>
  <w:style w:type="paragraph" w:styleId="DocumentMap">
    <w:name w:val="Document Map"/>
    <w:basedOn w:val="Normal"/>
    <w:rsid w:val="00711222"/>
    <w:pPr>
      <w:widowControl/>
      <w:shd w:val="clear" w:color="auto" w:fill="000080"/>
    </w:pPr>
    <w:rPr>
      <w:rFonts w:ascii="Comic Sans MS" w:hAnsi="Comic Sans MS" w:cs="Tahoma"/>
      <w:snapToGrid/>
      <w:lang w:val="en-AU"/>
    </w:rPr>
  </w:style>
  <w:style w:type="paragraph" w:customStyle="1" w:styleId="Heading2SS">
    <w:name w:val="Heading 2 + SS"/>
    <w:basedOn w:val="Heading2"/>
    <w:rsid w:val="006B78DE"/>
    <w:pPr>
      <w:keepNext w:val="0"/>
      <w:tabs>
        <w:tab w:val="left" w:pos="1985"/>
        <w:tab w:val="left" w:pos="2268"/>
      </w:tabs>
      <w:ind w:left="2268" w:hanging="2268"/>
    </w:pPr>
  </w:style>
  <w:style w:type="paragraph" w:customStyle="1" w:styleId="Heading3SS">
    <w:name w:val="Heading 3 + SS"/>
    <w:basedOn w:val="Heading3"/>
    <w:rsid w:val="006B78DE"/>
    <w:pPr>
      <w:keepNext w:val="0"/>
      <w:numPr>
        <w:ilvl w:val="0"/>
        <w:numId w:val="0"/>
      </w:numPr>
      <w:tabs>
        <w:tab w:val="left" w:pos="851"/>
      </w:tabs>
      <w:ind w:left="851" w:hanging="851"/>
    </w:pPr>
  </w:style>
  <w:style w:type="paragraph" w:customStyle="1" w:styleId="Heading5SS">
    <w:name w:val="Heading 5 +SS"/>
    <w:basedOn w:val="Heading5"/>
    <w:rsid w:val="00390376"/>
    <w:pPr>
      <w:keepNext w:val="0"/>
      <w:numPr>
        <w:ilvl w:val="0"/>
        <w:numId w:val="0"/>
      </w:numPr>
      <w:tabs>
        <w:tab w:val="left" w:pos="454"/>
      </w:tabs>
      <w:spacing w:after="0"/>
      <w:ind w:left="454" w:hanging="454"/>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306</vt:lpstr>
    </vt:vector>
  </TitlesOfParts>
  <Company>VicRoads</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dc:title>
  <dc:subject>Cementitious Treated Pavement Subbase</dc:subject>
  <dc:creator>VicRoads</dc:creator>
  <cp:keywords/>
  <dc:description/>
  <cp:lastModifiedBy>Robyn Robb</cp:lastModifiedBy>
  <cp:revision>4</cp:revision>
  <cp:lastPrinted>2018-04-18T23:22:00Z</cp:lastPrinted>
  <dcterms:created xsi:type="dcterms:W3CDTF">2019-12-04T22:54:00Z</dcterms:created>
  <dcterms:modified xsi:type="dcterms:W3CDTF">2021-03-02T04:51:00Z</dcterms:modified>
</cp:coreProperties>
</file>