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49F9D" w14:textId="77777777" w:rsidR="002F570E" w:rsidRPr="00AD7702" w:rsidRDefault="002F570E" w:rsidP="00A20AF2">
      <w:pPr>
        <w:pStyle w:val="Heading2SS"/>
      </w:pPr>
      <w:r w:rsidRPr="00AD7702">
        <w:t>SECTION 404</w:t>
      </w:r>
      <w:r w:rsidR="00AD7702" w:rsidRPr="00AD7702">
        <w:tab/>
        <w:t>-</w:t>
      </w:r>
      <w:r w:rsidR="00AD7702" w:rsidRPr="00AD7702">
        <w:tab/>
      </w:r>
      <w:r w:rsidRPr="00AD7702">
        <w:t>STONE MASTIC ASPHALT</w:t>
      </w:r>
      <w:r w:rsidRPr="008871D8">
        <w:rPr>
          <w:b w:val="0"/>
          <w:sz w:val="20"/>
          <w:szCs w:val="20"/>
        </w:rPr>
        <w:fldChar w:fldCharType="begin"/>
      </w:r>
      <w:r w:rsidRPr="008871D8">
        <w:rPr>
          <w:b w:val="0"/>
          <w:sz w:val="20"/>
          <w:szCs w:val="20"/>
        </w:rPr>
        <w:instrText>tc \l1 "SECTION 404</w:instrText>
      </w:r>
      <w:r w:rsidR="00AD7702" w:rsidRPr="008871D8">
        <w:rPr>
          <w:b w:val="0"/>
          <w:sz w:val="20"/>
          <w:szCs w:val="20"/>
        </w:rPr>
        <w:instrText xml:space="preserve">  -  </w:instrText>
      </w:r>
      <w:r w:rsidRPr="008871D8">
        <w:rPr>
          <w:b w:val="0"/>
          <w:sz w:val="20"/>
          <w:szCs w:val="20"/>
        </w:rPr>
        <w:instrText>STONE MASTIC ASPHALT</w:instrText>
      </w:r>
      <w:r w:rsidRPr="008871D8">
        <w:rPr>
          <w:b w:val="0"/>
          <w:sz w:val="20"/>
          <w:szCs w:val="20"/>
        </w:rPr>
        <w:fldChar w:fldCharType="end"/>
      </w:r>
    </w:p>
    <w:p w14:paraId="477C194F" w14:textId="77777777" w:rsidR="002F570E" w:rsidRDefault="002F570E" w:rsidP="004C3DD4"/>
    <w:p w14:paraId="7EE3CC47" w14:textId="77777777" w:rsidR="004C3DD4" w:rsidRDefault="004C3DD4" w:rsidP="004C3DD4"/>
    <w:p w14:paraId="0420C52B" w14:textId="77777777" w:rsidR="002F570E" w:rsidRDefault="003F77BF" w:rsidP="004C3DD4">
      <w:r w:rsidRPr="00DB5220">
        <w:t>##This section cross-references Section</w:t>
      </w:r>
      <w:r>
        <w:t xml:space="preserve"> 407.</w:t>
      </w:r>
      <w:r w:rsidR="00281C46">
        <w:t xml:space="preserve">  </w:t>
      </w:r>
      <w:r>
        <w:t xml:space="preserve">Section 407 </w:t>
      </w:r>
      <w:r w:rsidR="00281C46">
        <w:t>should be included</w:t>
      </w:r>
      <w:r>
        <w:t xml:space="preserve"> in the specification.:</w:t>
      </w:r>
    </w:p>
    <w:p w14:paraId="7838C262" w14:textId="77777777" w:rsidR="004C3DD4" w:rsidRDefault="004C3DD4" w:rsidP="004C3DD4"/>
    <w:p w14:paraId="3486198C" w14:textId="77777777" w:rsidR="004F369D" w:rsidRDefault="004F369D" w:rsidP="004C3DD4"/>
    <w:p w14:paraId="178ED1B9" w14:textId="77777777" w:rsidR="002F570E" w:rsidRDefault="002F570E" w:rsidP="005B1798">
      <w:pPr>
        <w:pStyle w:val="Heading3SS"/>
      </w:pPr>
      <w:r>
        <w:t>404</w:t>
      </w:r>
      <w:bookmarkStart w:id="0" w:name="np404"/>
      <w:bookmarkEnd w:id="0"/>
      <w:r>
        <w:t>.01</w:t>
      </w:r>
      <w:r>
        <w:tab/>
        <w:t>GENERAL</w:t>
      </w:r>
    </w:p>
    <w:p w14:paraId="5D107315" w14:textId="77777777" w:rsidR="002F570E" w:rsidRDefault="00330508" w:rsidP="002B198E">
      <w:pPr>
        <w:spacing w:before="200"/>
      </w:pPr>
      <w:r w:rsidRPr="00330508">
        <w:t>This section shall be r</w:t>
      </w:r>
      <w:r>
        <w:t>ead in conjunction with Section </w:t>
      </w:r>
      <w:r w:rsidRPr="00330508">
        <w:t>407  Hot Mix Asphalt and covers special requirements for Stone Mastic Asphalt (SMA) that are in addition to or override the requirements of Section</w:t>
      </w:r>
      <w:r>
        <w:t> </w:t>
      </w:r>
      <w:r w:rsidRPr="00330508">
        <w:t xml:space="preserve">407.  The section covers four types of SMA </w:t>
      </w:r>
      <w:proofErr w:type="gramStart"/>
      <w:r w:rsidRPr="00330508">
        <w:t>mixes;</w:t>
      </w:r>
      <w:proofErr w:type="gramEnd"/>
      <w:r w:rsidRPr="00330508">
        <w:t xml:space="preserve"> Normal Duty Size</w:t>
      </w:r>
      <w:r>
        <w:t> </w:t>
      </w:r>
      <w:r w:rsidRPr="00330508">
        <w:t>7</w:t>
      </w:r>
      <w:r>
        <w:t> </w:t>
      </w:r>
      <w:r w:rsidRPr="00330508">
        <w:t>mm (SMA7N), Normal Duty Size</w:t>
      </w:r>
      <w:r>
        <w:t> </w:t>
      </w:r>
      <w:r w:rsidRPr="00330508">
        <w:t>10</w:t>
      </w:r>
      <w:r>
        <w:t> </w:t>
      </w:r>
      <w:r w:rsidRPr="00330508">
        <w:t>mm (SMA10N), Heavy Duty Size</w:t>
      </w:r>
      <w:r>
        <w:t> </w:t>
      </w:r>
      <w:r w:rsidRPr="00330508">
        <w:t>7</w:t>
      </w:r>
      <w:r>
        <w:t> </w:t>
      </w:r>
      <w:r w:rsidRPr="00330508">
        <w:t>mm (SMA7H) and Heavy Duty Size</w:t>
      </w:r>
      <w:r>
        <w:t> </w:t>
      </w:r>
      <w:r w:rsidRPr="00330508">
        <w:t>10</w:t>
      </w:r>
      <w:r>
        <w:t> </w:t>
      </w:r>
      <w:r w:rsidRPr="00330508">
        <w:t>mm (SMA10H).</w:t>
      </w:r>
    </w:p>
    <w:p w14:paraId="5B1BD467" w14:textId="77777777" w:rsidR="002F570E" w:rsidRDefault="002F570E" w:rsidP="002B198E">
      <w:pPr>
        <w:spacing w:before="200"/>
      </w:pPr>
      <w:r>
        <w:t>SMA is a coarse graded asphalt containing a high proportion of binder and added filler with the</w:t>
      </w:r>
      <w:r w:rsidR="00B87C1F">
        <w:t xml:space="preserve"> addition of cellulose fibre</w:t>
      </w:r>
      <w:r>
        <w:t>.</w:t>
      </w:r>
    </w:p>
    <w:p w14:paraId="55B06336" w14:textId="77777777" w:rsidR="002F570E" w:rsidRDefault="002F570E" w:rsidP="0092332A"/>
    <w:p w14:paraId="6ADAE8C1" w14:textId="77777777" w:rsidR="002F570E" w:rsidRDefault="002F570E" w:rsidP="0092332A"/>
    <w:p w14:paraId="6B2021A8" w14:textId="77777777" w:rsidR="002F570E" w:rsidRDefault="002F570E" w:rsidP="005B1798">
      <w:pPr>
        <w:pStyle w:val="Heading3SS"/>
      </w:pPr>
      <w:r>
        <w:t>404.02</w:t>
      </w:r>
      <w:r>
        <w:tab/>
        <w:t>CELLULOSE FIBRE ADDITIVE</w:t>
      </w:r>
    </w:p>
    <w:p w14:paraId="4AB81973" w14:textId="77777777" w:rsidR="00540EF4" w:rsidRDefault="00540EF4" w:rsidP="00540EF4">
      <w:pPr>
        <w:spacing w:before="200"/>
      </w:pPr>
      <w:r>
        <w:t>Cellulose fibre additive shall be nontoxic and manufactured from raw cellulose.</w:t>
      </w:r>
    </w:p>
    <w:p w14:paraId="13B52E84" w14:textId="77777777" w:rsidR="00540EF4" w:rsidRDefault="00540EF4" w:rsidP="00540EF4">
      <w:pPr>
        <w:spacing w:before="200"/>
      </w:pPr>
      <w:r>
        <w:t>Cellulose fibre shall be supplied in bags of equal mass suitable for metered plant mixing and shall be handled in accordance with the manufacturer's specifications.</w:t>
      </w:r>
    </w:p>
    <w:p w14:paraId="28C63A59" w14:textId="77777777" w:rsidR="00540EF4" w:rsidRDefault="00540EF4" w:rsidP="00540EF4">
      <w:pPr>
        <w:spacing w:before="200"/>
      </w:pPr>
      <w:r>
        <w:t>Cellulose fibre additive may be supplied in loose or pelletised form and may be incorporated with a binding agent.  The binding agent can be either bituminous or non-bituminous.</w:t>
      </w:r>
    </w:p>
    <w:p w14:paraId="57B92B3E" w14:textId="77777777" w:rsidR="002F570E" w:rsidRDefault="002F570E" w:rsidP="00106E96"/>
    <w:p w14:paraId="75BCCB3A" w14:textId="77777777" w:rsidR="002F570E" w:rsidRDefault="002F570E" w:rsidP="00106E96"/>
    <w:p w14:paraId="66CD6AE0" w14:textId="77777777" w:rsidR="002F570E" w:rsidRDefault="002F570E" w:rsidP="005B1798">
      <w:pPr>
        <w:pStyle w:val="Heading3SS"/>
      </w:pPr>
      <w:r>
        <w:t>404.03</w:t>
      </w:r>
      <w:r>
        <w:tab/>
        <w:t>AGGREGATES</w:t>
      </w:r>
    </w:p>
    <w:p w14:paraId="718A087C" w14:textId="77777777" w:rsidR="00D173B7" w:rsidRDefault="00D173B7" w:rsidP="00D173B7">
      <w:pPr>
        <w:spacing w:before="200"/>
      </w:pPr>
      <w:r>
        <w:t xml:space="preserve">Unless otherwise specified, properties of the aggregates used in all SMA mixes shall comply with the requirements for Type H asphalt as specified in </w:t>
      </w:r>
      <w:r w:rsidR="00E27B21">
        <w:t>clause</w:t>
      </w:r>
      <w:r>
        <w:t> 407.03.</w:t>
      </w:r>
    </w:p>
    <w:p w14:paraId="57747994" w14:textId="77777777" w:rsidR="00D173B7" w:rsidRDefault="00D173B7" w:rsidP="00D173B7">
      <w:pPr>
        <w:spacing w:before="200"/>
      </w:pPr>
      <w:r>
        <w:t xml:space="preserve">Further to </w:t>
      </w:r>
      <w:r w:rsidR="00E27B21">
        <w:t>clause</w:t>
      </w:r>
      <w:r>
        <w:t>s 407.03 and 407.09, no Reclaimed Asphalt Pavement (RAP) shall be added to SMA.</w:t>
      </w:r>
    </w:p>
    <w:p w14:paraId="2A68F869" w14:textId="77777777" w:rsidR="002F570E" w:rsidRDefault="002F570E" w:rsidP="00106E96"/>
    <w:p w14:paraId="180E9F3A" w14:textId="77777777" w:rsidR="00652C97" w:rsidRDefault="00652C97" w:rsidP="00106E96"/>
    <w:p w14:paraId="03FF27B3" w14:textId="77777777" w:rsidR="002F570E" w:rsidRDefault="002F570E" w:rsidP="005B1798">
      <w:pPr>
        <w:pStyle w:val="Heading3SS"/>
      </w:pPr>
      <w:r>
        <w:t>404.04</w:t>
      </w:r>
      <w:r>
        <w:tab/>
        <w:t>BINDER</w:t>
      </w:r>
    </w:p>
    <w:p w14:paraId="6EA2B745" w14:textId="77777777" w:rsidR="00347E69" w:rsidRDefault="00347E69" w:rsidP="00347E69">
      <w:pPr>
        <w:spacing w:before="200"/>
      </w:pPr>
      <w:r>
        <w:t>The binder used in SMA7N and SMA10N shall be either Class A25E, A20E, A15E or A10E</w:t>
      </w:r>
      <w:r w:rsidR="005518B2">
        <w:t> </w:t>
      </w:r>
      <w:r>
        <w:t>PMB.</w:t>
      </w:r>
    </w:p>
    <w:p w14:paraId="735DC993" w14:textId="77777777" w:rsidR="00347E69" w:rsidRDefault="00347E69" w:rsidP="00347E69">
      <w:pPr>
        <w:spacing w:before="200"/>
      </w:pPr>
      <w:r>
        <w:t>The binder used in SMA</w:t>
      </w:r>
      <w:r w:rsidR="005518B2">
        <w:t>7H and in SMA10H shall be Class A10E </w:t>
      </w:r>
      <w:r>
        <w:t>PMB.</w:t>
      </w:r>
    </w:p>
    <w:p w14:paraId="700B01D0" w14:textId="77777777" w:rsidR="005518B2" w:rsidRDefault="005518B2" w:rsidP="005518B2">
      <w:pPr>
        <w:spacing w:before="200"/>
      </w:pPr>
      <w:r>
        <w:t>All PMB binders shall comply with the requirements of the Austroads Specification Framework for Polymer Modified Binder as listed in Section 175.</w:t>
      </w:r>
    </w:p>
    <w:p w14:paraId="71517AAD" w14:textId="77777777" w:rsidR="0089164B" w:rsidRDefault="0089164B" w:rsidP="00106E96"/>
    <w:p w14:paraId="5DDC3143" w14:textId="77777777" w:rsidR="005518B2" w:rsidRDefault="005518B2" w:rsidP="00106E96"/>
    <w:p w14:paraId="635ABF43" w14:textId="77777777" w:rsidR="002F570E" w:rsidRDefault="002F570E" w:rsidP="005B1798">
      <w:pPr>
        <w:pStyle w:val="Heading3SS"/>
      </w:pPr>
      <w:r>
        <w:t>404.05</w:t>
      </w:r>
      <w:r>
        <w:tab/>
        <w:t>MIX DESIGN</w:t>
      </w:r>
    </w:p>
    <w:p w14:paraId="2B686B12" w14:textId="77777777" w:rsidR="002F570E" w:rsidRDefault="002F570E" w:rsidP="002B198E">
      <w:pPr>
        <w:spacing w:before="200"/>
      </w:pPr>
      <w:r>
        <w:t xml:space="preserve">The mix to be used shall be a VicRoads registered mix and shall comply with the requirements of </w:t>
      </w:r>
      <w:r w:rsidR="00E27B21">
        <w:t>clause</w:t>
      </w:r>
      <w:r>
        <w:t> 407.06.</w:t>
      </w:r>
    </w:p>
    <w:p w14:paraId="5FE0636F" w14:textId="77777777" w:rsidR="00AF2E91" w:rsidRDefault="00391977" w:rsidP="00924CCE">
      <w:pPr>
        <w:tabs>
          <w:tab w:val="left" w:pos="0"/>
        </w:tabs>
        <w:spacing w:before="200"/>
        <w:ind w:hanging="567"/>
      </w:pPr>
      <w:r>
        <w:rPr>
          <w:b/>
        </w:rPr>
        <w:t>HP</w:t>
      </w:r>
      <w:r>
        <w:rPr>
          <w:b/>
        </w:rPr>
        <w:tab/>
      </w:r>
      <w:r w:rsidRPr="00017504">
        <w:rPr>
          <w:b/>
        </w:rPr>
        <w:t xml:space="preserve">The Contractor shall only use asphalt mixes that </w:t>
      </w:r>
      <w:r>
        <w:rPr>
          <w:b/>
        </w:rPr>
        <w:t>are registered by VicRoads as ‘</w:t>
      </w:r>
      <w:r w:rsidRPr="00017504">
        <w:rPr>
          <w:b/>
        </w:rPr>
        <w:t>General’ mixes at the time of placement, unless otherwise approved by the Superintendent.</w:t>
      </w:r>
    </w:p>
    <w:p w14:paraId="3E53879E" w14:textId="77777777" w:rsidR="002F570E" w:rsidRDefault="002F570E" w:rsidP="002B198E">
      <w:pPr>
        <w:spacing w:before="200"/>
      </w:pPr>
      <w:r>
        <w:t xml:space="preserve">The </w:t>
      </w:r>
      <w:r w:rsidR="002B6B54">
        <w:t>Contractor</w:t>
      </w:r>
      <w:r>
        <w:t xml:space="preserve"> shall also provide the following information:</w:t>
      </w:r>
    </w:p>
    <w:p w14:paraId="2586A0A0" w14:textId="77777777" w:rsidR="002F570E" w:rsidRDefault="00022886" w:rsidP="00DD0B6C">
      <w:pPr>
        <w:tabs>
          <w:tab w:val="left" w:pos="454"/>
        </w:tabs>
        <w:spacing w:before="120"/>
        <w:ind w:left="454" w:hanging="454"/>
      </w:pPr>
      <w:r>
        <w:t>(a)</w:t>
      </w:r>
      <w:r>
        <w:tab/>
      </w:r>
      <w:r w:rsidR="002F570E">
        <w:t>Marshall Stability</w:t>
      </w:r>
      <w:r w:rsidR="00D21859" w:rsidRPr="00D21859">
        <w:t xml:space="preserve"> to meet the r</w:t>
      </w:r>
      <w:r w:rsidR="00D21859">
        <w:t xml:space="preserve">equirements of </w:t>
      </w:r>
      <w:r w:rsidR="00E27B21">
        <w:t>clause</w:t>
      </w:r>
      <w:r w:rsidR="00D21859">
        <w:t> </w:t>
      </w:r>
      <w:r w:rsidR="00D21859" w:rsidRPr="00D21859">
        <w:t>404.06(d)</w:t>
      </w:r>
    </w:p>
    <w:p w14:paraId="38CCE701" w14:textId="77777777" w:rsidR="00652C97" w:rsidRPr="007F43F6" w:rsidRDefault="00022886" w:rsidP="00DD0B6C">
      <w:pPr>
        <w:tabs>
          <w:tab w:val="left" w:pos="454"/>
        </w:tabs>
        <w:spacing w:before="120"/>
        <w:ind w:left="454" w:hanging="454"/>
      </w:pPr>
      <w:r>
        <w:t>(b)</w:t>
      </w:r>
      <w:r>
        <w:tab/>
      </w:r>
      <w:r w:rsidR="00D21859">
        <w:t>t</w:t>
      </w:r>
      <w:r w:rsidR="00D21859" w:rsidRPr="00D21859">
        <w:t>he results of the Binder Drain Off tests meeting the re</w:t>
      </w:r>
      <w:r w:rsidR="00D21859">
        <w:t xml:space="preserve">quirements of </w:t>
      </w:r>
      <w:r w:rsidR="00E27B21">
        <w:t>clause</w:t>
      </w:r>
      <w:r w:rsidR="00D21859">
        <w:t> </w:t>
      </w:r>
      <w:r w:rsidR="00D21859" w:rsidRPr="00D21859">
        <w:t>404.06(e) and the selected maximum mixing temperature to avoid excess binder drain off</w:t>
      </w:r>
    </w:p>
    <w:p w14:paraId="27C6D2C7" w14:textId="77777777" w:rsidR="002F570E" w:rsidRDefault="00721133" w:rsidP="00DD0B6C">
      <w:pPr>
        <w:tabs>
          <w:tab w:val="left" w:pos="454"/>
        </w:tabs>
        <w:spacing w:before="120"/>
        <w:ind w:left="454" w:hanging="454"/>
      </w:pPr>
      <w:r>
        <w:rPr>
          <w:noProof/>
          <w:lang w:eastAsia="en-AU"/>
        </w:rPr>
        <w:pict w14:anchorId="64206161">
          <v:shapetype id="_x0000_t202" coordsize="21600,21600" o:spt="202" path="m,l,21600r21600,l21600,xe">
            <v:stroke joinstyle="miter"/>
            <v:path gradientshapeok="t" o:connecttype="rect"/>
          </v:shapetype>
          <v:shape id="_x0000_s1034" type="#_x0000_t202" style="position:absolute;left:0;text-align:left;margin-left:0;margin-top:779.65pt;width:481.9pt;height:36.85pt;z-index:-251660288;mso-wrap-distance-top:5.65pt;mso-position-horizontal:center;mso-position-horizontal-relative:page;mso-position-vertical-relative:page" stroked="f">
            <v:textbox style="mso-next-textbox:#_x0000_s1034" inset="0,,0">
              <w:txbxContent>
                <w:p w14:paraId="0CE95A9A" w14:textId="77777777" w:rsidR="00B058D6" w:rsidRDefault="00B058D6" w:rsidP="001B55CA">
                  <w:pPr>
                    <w:pBdr>
                      <w:top w:val="single" w:sz="6" w:space="1" w:color="000000"/>
                    </w:pBdr>
                    <w:spacing w:line="60" w:lineRule="exact"/>
                    <w:jc w:val="right"/>
                    <w:rPr>
                      <w:b/>
                    </w:rPr>
                  </w:pPr>
                </w:p>
                <w:p w14:paraId="6F456FE7" w14:textId="23D2CE01" w:rsidR="00B058D6" w:rsidRDefault="00B058D6" w:rsidP="001B55CA">
                  <w:pPr>
                    <w:pBdr>
                      <w:top w:val="single" w:sz="6" w:space="1" w:color="000000"/>
                    </w:pBdr>
                    <w:jc w:val="right"/>
                  </w:pPr>
                  <w:r>
                    <w:rPr>
                      <w:b/>
                    </w:rPr>
                    <w:t>©</w:t>
                  </w:r>
                  <w:r>
                    <w:t xml:space="preserve"> </w:t>
                  </w:r>
                  <w:r w:rsidR="00721133">
                    <w:t>Department of Transport</w:t>
                  </w:r>
                  <w:r>
                    <w:t xml:space="preserve">  </w:t>
                  </w:r>
                  <w:r w:rsidR="00E56973">
                    <w:t>August 2018</w:t>
                  </w:r>
                </w:p>
                <w:p w14:paraId="55E2E654" w14:textId="77777777" w:rsidR="00B058D6" w:rsidRDefault="00B058D6" w:rsidP="001B55CA">
                  <w:pPr>
                    <w:jc w:val="right"/>
                  </w:pPr>
                  <w:r>
                    <w:t>Section 404 (Page 1 of 4)</w:t>
                  </w:r>
                </w:p>
                <w:p w14:paraId="7CAB16A1" w14:textId="77777777" w:rsidR="00B058D6" w:rsidRDefault="00B058D6" w:rsidP="001B55CA">
                  <w:pPr>
                    <w:jc w:val="right"/>
                  </w:pPr>
                </w:p>
              </w:txbxContent>
            </v:textbox>
            <w10:wrap anchorx="page" anchory="page"/>
            <w10:anchorlock/>
          </v:shape>
        </w:pict>
      </w:r>
      <w:r w:rsidR="00022886">
        <w:t>(c)</w:t>
      </w:r>
      <w:r w:rsidR="00022886">
        <w:tab/>
      </w:r>
      <w:r w:rsidR="0009053A">
        <w:t>t</w:t>
      </w:r>
      <w:r w:rsidR="0009053A" w:rsidRPr="0009053A">
        <w:t>he Indirect Tensile Modulus of the mix.  The sample shall be prepared at 5</w:t>
      </w:r>
      <w:r w:rsidR="0009053A">
        <w:t> </w:t>
      </w:r>
      <w:r w:rsidR="0009053A" w:rsidRPr="0009053A">
        <w:t>±</w:t>
      </w:r>
      <w:r w:rsidR="0009053A">
        <w:t> </w:t>
      </w:r>
      <w:r w:rsidR="0009053A" w:rsidRPr="0009053A">
        <w:t>0.5% air voids.</w:t>
      </w:r>
    </w:p>
    <w:p w14:paraId="1190E5BA" w14:textId="77777777" w:rsidR="003206CE" w:rsidRDefault="00022886" w:rsidP="00156148">
      <w:pPr>
        <w:spacing w:line="80" w:lineRule="exact"/>
      </w:pPr>
      <w:r>
        <w:br w:type="page"/>
      </w:r>
    </w:p>
    <w:p w14:paraId="7EC9C458" w14:textId="77777777" w:rsidR="002F570E" w:rsidRDefault="002F570E" w:rsidP="005B1798">
      <w:pPr>
        <w:pStyle w:val="Heading3SS"/>
      </w:pPr>
      <w:r>
        <w:t>404.06</w:t>
      </w:r>
      <w:r>
        <w:tab/>
        <w:t xml:space="preserve">MIX </w:t>
      </w:r>
      <w:smartTag w:uri="schemas-praxa-com/sth" w:element="ST7">
        <w:smartTagPr>
          <w:attr w:name="anchor" w:val="C_SECTION3070_DESIGNREQUIREMENTS"/>
          <w:attr w:name="id" w:val="ST7"/>
          <w:attr w:name="name" w:val="Section3070_HelpFile"/>
          <w:attr w:name="url" w:val="file:///Q:/Major%20Project%20Support%20Staff/DanHoyne/Projects/Online%20Help/VicRoads_Online%20Help%20Project/HTM_Helpfiles/SECTION%203070_HelpFile.htm"/>
        </w:smartTagPr>
        <w:r>
          <w:t>DESIGN REQUIREMENTS</w:t>
        </w:r>
      </w:smartTag>
    </w:p>
    <w:p w14:paraId="1D7E5184" w14:textId="77777777" w:rsidR="002F570E" w:rsidRDefault="002F570E" w:rsidP="004C3DD4">
      <w:pPr>
        <w:tabs>
          <w:tab w:val="left" w:pos="454"/>
        </w:tabs>
        <w:spacing w:before="160"/>
        <w:ind w:left="454" w:hanging="454"/>
      </w:pPr>
      <w:r>
        <w:t>(a)</w:t>
      </w:r>
      <w:r>
        <w:tab/>
        <w:t xml:space="preserve">The grading </w:t>
      </w:r>
      <w:r w:rsidR="00250587" w:rsidRPr="00D07286">
        <w:t>limits</w:t>
      </w:r>
      <w:r w:rsidR="000363F1">
        <w:t xml:space="preserve"> </w:t>
      </w:r>
      <w:r>
        <w:t>in the job mix shall lie within the limits specified in Table 404.061 below:</w:t>
      </w:r>
    </w:p>
    <w:p w14:paraId="1209FE03" w14:textId="77777777" w:rsidR="002F570E" w:rsidRPr="00636F3B" w:rsidRDefault="00022886" w:rsidP="00541431">
      <w:pPr>
        <w:tabs>
          <w:tab w:val="left" w:pos="454"/>
        </w:tabs>
        <w:spacing w:before="100" w:after="20"/>
        <w:rPr>
          <w:b/>
        </w:rPr>
      </w:pPr>
      <w:r w:rsidRPr="00636F3B">
        <w:rPr>
          <w:b/>
        </w:rPr>
        <w:tab/>
      </w:r>
      <w:r w:rsidR="002F570E" w:rsidRPr="00636F3B">
        <w:rPr>
          <w:b/>
        </w:rPr>
        <w:t>Table 404.061</w:t>
      </w:r>
      <w:r w:rsidR="00250587" w:rsidRPr="00636F3B">
        <w:rPr>
          <w:b/>
        </w:rPr>
        <w:t xml:space="preserve"> </w:t>
      </w:r>
      <w:r w:rsidR="00B406B8" w:rsidRPr="00636F3B">
        <w:rPr>
          <w:b/>
        </w:rPr>
        <w:t xml:space="preserve"> </w:t>
      </w:r>
      <w:r w:rsidR="00250587" w:rsidRPr="00636F3B">
        <w:rPr>
          <w:b/>
        </w:rPr>
        <w:t>Grading Limits for Aggregates</w:t>
      </w:r>
      <w:r w:rsidR="00612296" w:rsidRPr="00636F3B">
        <w:rPr>
          <w:b/>
        </w:rPr>
        <w:t xml:space="preserve"> (including any filler)</w:t>
      </w:r>
    </w:p>
    <w:tbl>
      <w:tblPr>
        <w:tblW w:w="0" w:type="auto"/>
        <w:jc w:val="center"/>
        <w:tblLayout w:type="fixed"/>
        <w:tblCellMar>
          <w:top w:w="91" w:type="dxa"/>
          <w:left w:w="28" w:type="dxa"/>
          <w:bottom w:w="28" w:type="dxa"/>
          <w:right w:w="28" w:type="dxa"/>
        </w:tblCellMar>
        <w:tblLook w:val="0000" w:firstRow="0" w:lastRow="0" w:firstColumn="0" w:lastColumn="0" w:noHBand="0" w:noVBand="0"/>
      </w:tblPr>
      <w:tblGrid>
        <w:gridCol w:w="1323"/>
        <w:gridCol w:w="1527"/>
        <w:gridCol w:w="1276"/>
        <w:gridCol w:w="1289"/>
      </w:tblGrid>
      <w:tr w:rsidR="002F570E" w:rsidRPr="008871D8" w14:paraId="60A19CC6" w14:textId="77777777" w:rsidTr="00DE2835">
        <w:trPr>
          <w:cantSplit/>
          <w:jc w:val="center"/>
        </w:trPr>
        <w:tc>
          <w:tcPr>
            <w:tcW w:w="1323" w:type="dxa"/>
            <w:vMerge w:val="restart"/>
            <w:tcBorders>
              <w:top w:val="single" w:sz="12" w:space="0" w:color="auto"/>
              <w:left w:val="single" w:sz="12" w:space="0" w:color="auto"/>
              <w:right w:val="single" w:sz="8" w:space="0" w:color="auto"/>
            </w:tcBorders>
            <w:tcMar>
              <w:top w:w="57" w:type="dxa"/>
            </w:tcMar>
            <w:vAlign w:val="center"/>
          </w:tcPr>
          <w:p w14:paraId="24627064" w14:textId="77777777" w:rsidR="002F570E" w:rsidRPr="008871D8" w:rsidRDefault="002F570E" w:rsidP="006906B3">
            <w:pPr>
              <w:jc w:val="center"/>
              <w:rPr>
                <w:b/>
              </w:rPr>
            </w:pPr>
            <w:r w:rsidRPr="008871D8">
              <w:rPr>
                <w:b/>
              </w:rPr>
              <w:t>Sieve Size</w:t>
            </w:r>
          </w:p>
          <w:p w14:paraId="6F7E61C0" w14:textId="77777777" w:rsidR="002F570E" w:rsidRPr="008871D8" w:rsidRDefault="002F570E" w:rsidP="006906B3">
            <w:pPr>
              <w:jc w:val="center"/>
              <w:rPr>
                <w:b/>
              </w:rPr>
            </w:pPr>
            <w:r w:rsidRPr="008871D8">
              <w:rPr>
                <w:b/>
              </w:rPr>
              <w:t>AS (mm)</w:t>
            </w:r>
          </w:p>
        </w:tc>
        <w:tc>
          <w:tcPr>
            <w:tcW w:w="4092" w:type="dxa"/>
            <w:gridSpan w:val="3"/>
            <w:tcBorders>
              <w:top w:val="single" w:sz="12" w:space="0" w:color="auto"/>
              <w:left w:val="nil"/>
              <w:bottom w:val="single" w:sz="8" w:space="0" w:color="auto"/>
              <w:right w:val="single" w:sz="12" w:space="0" w:color="auto"/>
            </w:tcBorders>
            <w:tcMar>
              <w:top w:w="57" w:type="dxa"/>
            </w:tcMar>
            <w:vAlign w:val="center"/>
          </w:tcPr>
          <w:p w14:paraId="5E78F025" w14:textId="77777777" w:rsidR="002F570E" w:rsidRPr="008871D8" w:rsidRDefault="002F570E" w:rsidP="006906B3">
            <w:pPr>
              <w:jc w:val="center"/>
              <w:rPr>
                <w:b/>
              </w:rPr>
            </w:pPr>
            <w:r w:rsidRPr="008871D8">
              <w:rPr>
                <w:b/>
              </w:rPr>
              <w:t>Percentage Passing (by mass)</w:t>
            </w:r>
          </w:p>
        </w:tc>
      </w:tr>
      <w:tr w:rsidR="00185778" w:rsidRPr="008871D8" w14:paraId="67682BB8" w14:textId="77777777" w:rsidTr="00DE2835">
        <w:trPr>
          <w:cantSplit/>
          <w:jc w:val="center"/>
        </w:trPr>
        <w:tc>
          <w:tcPr>
            <w:tcW w:w="1323" w:type="dxa"/>
            <w:vMerge/>
            <w:tcBorders>
              <w:left w:val="single" w:sz="12" w:space="0" w:color="auto"/>
              <w:bottom w:val="single" w:sz="12" w:space="0" w:color="auto"/>
              <w:right w:val="single" w:sz="8" w:space="0" w:color="auto"/>
            </w:tcBorders>
            <w:tcMar>
              <w:top w:w="57" w:type="dxa"/>
            </w:tcMar>
            <w:vAlign w:val="center"/>
          </w:tcPr>
          <w:p w14:paraId="33082FE6" w14:textId="77777777" w:rsidR="00185778" w:rsidRPr="008871D8" w:rsidRDefault="00185778" w:rsidP="006906B3">
            <w:pPr>
              <w:jc w:val="center"/>
              <w:rPr>
                <w:b/>
              </w:rPr>
            </w:pPr>
          </w:p>
        </w:tc>
        <w:tc>
          <w:tcPr>
            <w:tcW w:w="1527" w:type="dxa"/>
            <w:tcBorders>
              <w:top w:val="single" w:sz="8" w:space="0" w:color="auto"/>
              <w:left w:val="nil"/>
              <w:bottom w:val="single" w:sz="12" w:space="0" w:color="auto"/>
              <w:right w:val="single" w:sz="8" w:space="0" w:color="auto"/>
            </w:tcBorders>
            <w:tcMar>
              <w:top w:w="57" w:type="dxa"/>
            </w:tcMar>
            <w:vAlign w:val="center"/>
          </w:tcPr>
          <w:p w14:paraId="5C224778" w14:textId="77777777" w:rsidR="00185778" w:rsidRPr="008871D8" w:rsidRDefault="00185778" w:rsidP="006906B3">
            <w:pPr>
              <w:jc w:val="center"/>
              <w:rPr>
                <w:b/>
              </w:rPr>
            </w:pPr>
            <w:r w:rsidRPr="008871D8">
              <w:rPr>
                <w:b/>
              </w:rPr>
              <w:t>SMA</w:t>
            </w:r>
            <w:r w:rsidR="00F92970">
              <w:rPr>
                <w:b/>
              </w:rPr>
              <w:t>10</w:t>
            </w:r>
            <w:r w:rsidRPr="008871D8">
              <w:rPr>
                <w:b/>
              </w:rPr>
              <w:t>N</w:t>
            </w:r>
          </w:p>
        </w:tc>
        <w:tc>
          <w:tcPr>
            <w:tcW w:w="1276" w:type="dxa"/>
            <w:tcBorders>
              <w:top w:val="single" w:sz="8" w:space="0" w:color="auto"/>
              <w:left w:val="nil"/>
              <w:bottom w:val="single" w:sz="12" w:space="0" w:color="auto"/>
              <w:right w:val="single" w:sz="8" w:space="0" w:color="auto"/>
            </w:tcBorders>
            <w:tcMar>
              <w:top w:w="57" w:type="dxa"/>
            </w:tcMar>
            <w:vAlign w:val="center"/>
          </w:tcPr>
          <w:p w14:paraId="2A1CBA49" w14:textId="77777777" w:rsidR="00185778" w:rsidRPr="008871D8" w:rsidRDefault="00185778" w:rsidP="006906B3">
            <w:pPr>
              <w:jc w:val="center"/>
              <w:rPr>
                <w:rFonts w:ascii="Times New (W1)" w:hAnsi="Times New (W1)"/>
                <w:b/>
                <w:strike/>
              </w:rPr>
            </w:pPr>
            <w:r w:rsidRPr="008871D8">
              <w:rPr>
                <w:b/>
              </w:rPr>
              <w:t>SMA</w:t>
            </w:r>
            <w:r w:rsidR="00F92970">
              <w:rPr>
                <w:b/>
              </w:rPr>
              <w:t>10</w:t>
            </w:r>
            <w:r w:rsidRPr="008871D8">
              <w:rPr>
                <w:b/>
              </w:rPr>
              <w:t>H</w:t>
            </w:r>
          </w:p>
        </w:tc>
        <w:tc>
          <w:tcPr>
            <w:tcW w:w="1289" w:type="dxa"/>
            <w:tcBorders>
              <w:top w:val="single" w:sz="8" w:space="0" w:color="auto"/>
              <w:left w:val="single" w:sz="8" w:space="0" w:color="auto"/>
              <w:bottom w:val="single" w:sz="12" w:space="0" w:color="auto"/>
              <w:right w:val="single" w:sz="12" w:space="0" w:color="auto"/>
            </w:tcBorders>
            <w:tcMar>
              <w:top w:w="57" w:type="dxa"/>
            </w:tcMar>
            <w:vAlign w:val="center"/>
          </w:tcPr>
          <w:p w14:paraId="2B234761" w14:textId="77777777" w:rsidR="00F92970" w:rsidRDefault="00F92970" w:rsidP="006906B3">
            <w:pPr>
              <w:jc w:val="center"/>
              <w:rPr>
                <w:b/>
              </w:rPr>
            </w:pPr>
            <w:r>
              <w:rPr>
                <w:b/>
              </w:rPr>
              <w:t>SMA7N</w:t>
            </w:r>
          </w:p>
          <w:p w14:paraId="03762B4F" w14:textId="77777777" w:rsidR="00185778" w:rsidRPr="008871D8" w:rsidRDefault="00F92970" w:rsidP="006906B3">
            <w:pPr>
              <w:jc w:val="center"/>
              <w:rPr>
                <w:rFonts w:ascii="Times New (W1)" w:hAnsi="Times New (W1)"/>
                <w:b/>
                <w:strike/>
              </w:rPr>
            </w:pPr>
            <w:r>
              <w:rPr>
                <w:b/>
              </w:rPr>
              <w:t>SMA7H</w:t>
            </w:r>
          </w:p>
        </w:tc>
      </w:tr>
      <w:tr w:rsidR="00F92970" w14:paraId="1E32027C" w14:textId="77777777" w:rsidTr="00F92970">
        <w:trPr>
          <w:cantSplit/>
          <w:jc w:val="center"/>
        </w:trPr>
        <w:tc>
          <w:tcPr>
            <w:tcW w:w="1323" w:type="dxa"/>
            <w:tcBorders>
              <w:top w:val="single" w:sz="12" w:space="0" w:color="auto"/>
              <w:left w:val="single" w:sz="12" w:space="0" w:color="auto"/>
              <w:bottom w:val="single" w:sz="6" w:space="0" w:color="FFFFFF"/>
              <w:right w:val="single" w:sz="8" w:space="0" w:color="auto"/>
            </w:tcBorders>
            <w:tcMar>
              <w:right w:w="397" w:type="dxa"/>
            </w:tcMar>
            <w:vAlign w:val="center"/>
          </w:tcPr>
          <w:p w14:paraId="226230A0" w14:textId="77777777" w:rsidR="00F92970" w:rsidRDefault="00F92970" w:rsidP="001B55CA">
            <w:pPr>
              <w:tabs>
                <w:tab w:val="decimal" w:pos="454"/>
              </w:tabs>
            </w:pPr>
            <w:r>
              <w:t>19.0</w:t>
            </w:r>
          </w:p>
        </w:tc>
        <w:tc>
          <w:tcPr>
            <w:tcW w:w="1527" w:type="dxa"/>
            <w:tcBorders>
              <w:top w:val="single" w:sz="12" w:space="0" w:color="auto"/>
              <w:left w:val="nil"/>
              <w:bottom w:val="single" w:sz="6" w:space="0" w:color="FFFFFF"/>
              <w:right w:val="single" w:sz="8" w:space="0" w:color="auto"/>
            </w:tcBorders>
            <w:tcMar>
              <w:top w:w="85" w:type="dxa"/>
              <w:bottom w:w="28" w:type="dxa"/>
            </w:tcMar>
          </w:tcPr>
          <w:p w14:paraId="2BF02A7D" w14:textId="77777777" w:rsidR="00F92970" w:rsidRDefault="00F92970" w:rsidP="00BA498E">
            <w:pPr>
              <w:jc w:val="center"/>
            </w:pPr>
            <w:r>
              <w:t>100</w:t>
            </w:r>
          </w:p>
        </w:tc>
        <w:tc>
          <w:tcPr>
            <w:tcW w:w="1276" w:type="dxa"/>
            <w:tcBorders>
              <w:top w:val="single" w:sz="12" w:space="0" w:color="auto"/>
              <w:left w:val="nil"/>
              <w:bottom w:val="single" w:sz="6" w:space="0" w:color="FFFFFF"/>
              <w:right w:val="single" w:sz="8" w:space="0" w:color="auto"/>
            </w:tcBorders>
            <w:tcMar>
              <w:bottom w:w="28" w:type="dxa"/>
            </w:tcMar>
            <w:vAlign w:val="center"/>
          </w:tcPr>
          <w:p w14:paraId="379AD860" w14:textId="77777777" w:rsidR="00F92970" w:rsidRPr="00D07286" w:rsidRDefault="00F92970" w:rsidP="00714B86">
            <w:pPr>
              <w:jc w:val="center"/>
            </w:pPr>
            <w:r w:rsidRPr="00D07286">
              <w:t>100</w:t>
            </w:r>
          </w:p>
        </w:tc>
        <w:tc>
          <w:tcPr>
            <w:tcW w:w="1289" w:type="dxa"/>
            <w:tcBorders>
              <w:top w:val="single" w:sz="12" w:space="0" w:color="auto"/>
              <w:left w:val="single" w:sz="8" w:space="0" w:color="auto"/>
              <w:bottom w:val="single" w:sz="6" w:space="0" w:color="FFFFFF"/>
              <w:right w:val="single" w:sz="12" w:space="0" w:color="auto"/>
            </w:tcBorders>
            <w:vAlign w:val="center"/>
          </w:tcPr>
          <w:p w14:paraId="4A6BA1FB" w14:textId="77777777" w:rsidR="00F92970" w:rsidRPr="00D07286" w:rsidRDefault="00F92970" w:rsidP="00714B86">
            <w:pPr>
              <w:jc w:val="center"/>
            </w:pPr>
            <w:r>
              <w:t>100</w:t>
            </w:r>
          </w:p>
        </w:tc>
      </w:tr>
      <w:tr w:rsidR="00F92970" w14:paraId="54888B48"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7F9622E3" w14:textId="77777777" w:rsidR="00F92970" w:rsidRDefault="00F92970" w:rsidP="001B55CA">
            <w:pPr>
              <w:tabs>
                <w:tab w:val="decimal" w:pos="454"/>
              </w:tabs>
            </w:pPr>
            <w:r>
              <w:t>13.2</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3DC5687C" w14:textId="77777777" w:rsidR="00F92970" w:rsidRDefault="00F92970" w:rsidP="00BA498E">
            <w:pPr>
              <w:jc w:val="center"/>
            </w:pPr>
            <w:r>
              <w:t>100</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59462700" w14:textId="77777777" w:rsidR="00F92970" w:rsidRPr="00D07286" w:rsidRDefault="00F92970" w:rsidP="00714B86">
            <w:pPr>
              <w:jc w:val="center"/>
            </w:pPr>
            <w:r w:rsidRPr="00D07286">
              <w:t>100</w:t>
            </w:r>
          </w:p>
        </w:tc>
        <w:tc>
          <w:tcPr>
            <w:tcW w:w="1289" w:type="dxa"/>
            <w:tcBorders>
              <w:top w:val="single" w:sz="6" w:space="0" w:color="FFFFFF"/>
              <w:left w:val="single" w:sz="8" w:space="0" w:color="auto"/>
              <w:bottom w:val="single" w:sz="6" w:space="0" w:color="FFFFFF"/>
              <w:right w:val="single" w:sz="12" w:space="0" w:color="auto"/>
            </w:tcBorders>
            <w:vAlign w:val="center"/>
          </w:tcPr>
          <w:p w14:paraId="73530F8D" w14:textId="77777777" w:rsidR="00F92970" w:rsidRPr="00D07286" w:rsidRDefault="00F92970" w:rsidP="00714B86">
            <w:pPr>
              <w:jc w:val="center"/>
            </w:pPr>
            <w:r>
              <w:t>100</w:t>
            </w:r>
          </w:p>
        </w:tc>
      </w:tr>
      <w:tr w:rsidR="00F92970" w14:paraId="01C85EDA"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15543B20" w14:textId="77777777" w:rsidR="00F92970" w:rsidRDefault="00F92970" w:rsidP="001B55CA">
            <w:pPr>
              <w:tabs>
                <w:tab w:val="decimal" w:pos="454"/>
              </w:tabs>
            </w:pPr>
            <w:r>
              <w:t>9.5</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5B6CF8AA" w14:textId="77777777" w:rsidR="00F92970" w:rsidRDefault="00F92970" w:rsidP="00BA498E">
            <w:pPr>
              <w:jc w:val="center"/>
            </w:pPr>
            <w:r>
              <w:t>90</w:t>
            </w:r>
            <w:r>
              <w:noBreakHyphen/>
              <w:t>100</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7E8C7AE1" w14:textId="77777777" w:rsidR="00F92970" w:rsidRPr="00D07286" w:rsidRDefault="00F92970" w:rsidP="00714B86">
            <w:pPr>
              <w:jc w:val="center"/>
            </w:pPr>
            <w:r w:rsidRPr="00D07286">
              <w:t>90-100</w:t>
            </w:r>
          </w:p>
        </w:tc>
        <w:tc>
          <w:tcPr>
            <w:tcW w:w="1289" w:type="dxa"/>
            <w:tcBorders>
              <w:top w:val="single" w:sz="6" w:space="0" w:color="FFFFFF"/>
              <w:left w:val="single" w:sz="8" w:space="0" w:color="auto"/>
              <w:bottom w:val="single" w:sz="6" w:space="0" w:color="FFFFFF"/>
              <w:right w:val="single" w:sz="12" w:space="0" w:color="auto"/>
            </w:tcBorders>
            <w:vAlign w:val="center"/>
          </w:tcPr>
          <w:p w14:paraId="6E5303DE" w14:textId="77777777" w:rsidR="00F92970" w:rsidRPr="00D07286" w:rsidRDefault="00F92970" w:rsidP="00714B86">
            <w:pPr>
              <w:jc w:val="center"/>
            </w:pPr>
            <w:r>
              <w:t>100</w:t>
            </w:r>
          </w:p>
        </w:tc>
      </w:tr>
      <w:tr w:rsidR="00F92970" w14:paraId="72CBC7C6"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7EEB86C4" w14:textId="77777777" w:rsidR="00F92970" w:rsidRDefault="00F92970" w:rsidP="001B55CA">
            <w:pPr>
              <w:tabs>
                <w:tab w:val="decimal" w:pos="454"/>
              </w:tabs>
            </w:pPr>
            <w:r>
              <w:t>6.70</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2C9E088A" w14:textId="77777777" w:rsidR="00F92970" w:rsidRDefault="00F92970" w:rsidP="00BA498E">
            <w:pPr>
              <w:jc w:val="center"/>
            </w:pPr>
            <w:r>
              <w:t>45</w:t>
            </w:r>
            <w:r>
              <w:noBreakHyphen/>
              <w:t>65</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45BA5FF0" w14:textId="77777777" w:rsidR="00F92970" w:rsidRPr="00D07286" w:rsidRDefault="00F92970" w:rsidP="00714B86">
            <w:pPr>
              <w:jc w:val="center"/>
            </w:pPr>
            <w:r w:rsidRPr="00D07286">
              <w:t>25</w:t>
            </w:r>
            <w:r w:rsidRPr="00D07286">
              <w:noBreakHyphen/>
              <w:t>45</w:t>
            </w:r>
          </w:p>
        </w:tc>
        <w:tc>
          <w:tcPr>
            <w:tcW w:w="1289" w:type="dxa"/>
            <w:tcBorders>
              <w:top w:val="single" w:sz="6" w:space="0" w:color="FFFFFF"/>
              <w:left w:val="single" w:sz="8" w:space="0" w:color="auto"/>
              <w:bottom w:val="single" w:sz="6" w:space="0" w:color="FFFFFF"/>
              <w:right w:val="single" w:sz="12" w:space="0" w:color="auto"/>
            </w:tcBorders>
            <w:vAlign w:val="center"/>
          </w:tcPr>
          <w:p w14:paraId="19FF50CF" w14:textId="77777777" w:rsidR="00F92970" w:rsidRPr="00D07286" w:rsidRDefault="00C40036" w:rsidP="00714B86">
            <w:pPr>
              <w:jc w:val="center"/>
            </w:pPr>
            <w:r>
              <w:t>85-100</w:t>
            </w:r>
          </w:p>
        </w:tc>
      </w:tr>
      <w:tr w:rsidR="00F92970" w14:paraId="3FC746B2"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0EBBE813" w14:textId="77777777" w:rsidR="00F92970" w:rsidRDefault="00F92970" w:rsidP="001B55CA">
            <w:pPr>
              <w:tabs>
                <w:tab w:val="decimal" w:pos="454"/>
              </w:tabs>
            </w:pPr>
            <w:r>
              <w:t>4.75</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59C2DF2B" w14:textId="77777777" w:rsidR="00F92970" w:rsidRDefault="00F92970" w:rsidP="00BA498E">
            <w:pPr>
              <w:jc w:val="center"/>
            </w:pPr>
            <w:r>
              <w:t>30</w:t>
            </w:r>
            <w:r>
              <w:noBreakHyphen/>
              <w:t>50</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23F84C4A" w14:textId="77777777" w:rsidR="00F92970" w:rsidRPr="00D07286" w:rsidRDefault="00F92970" w:rsidP="00714B86">
            <w:pPr>
              <w:jc w:val="center"/>
            </w:pPr>
            <w:r w:rsidRPr="00D07286">
              <w:t>18</w:t>
            </w:r>
            <w:r w:rsidRPr="00D07286">
              <w:noBreakHyphen/>
              <w:t>32</w:t>
            </w:r>
          </w:p>
        </w:tc>
        <w:tc>
          <w:tcPr>
            <w:tcW w:w="1289" w:type="dxa"/>
            <w:tcBorders>
              <w:top w:val="single" w:sz="6" w:space="0" w:color="FFFFFF"/>
              <w:left w:val="single" w:sz="8" w:space="0" w:color="auto"/>
              <w:bottom w:val="single" w:sz="6" w:space="0" w:color="FFFFFF"/>
              <w:right w:val="single" w:sz="12" w:space="0" w:color="auto"/>
            </w:tcBorders>
            <w:vAlign w:val="center"/>
          </w:tcPr>
          <w:p w14:paraId="07937A4B" w14:textId="77777777" w:rsidR="00F92970" w:rsidRPr="00D07286" w:rsidRDefault="000C553A" w:rsidP="00714B86">
            <w:pPr>
              <w:jc w:val="center"/>
            </w:pPr>
            <w:r>
              <w:t>35-55</w:t>
            </w:r>
          </w:p>
        </w:tc>
      </w:tr>
      <w:tr w:rsidR="00F92970" w14:paraId="0DBE7052"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5AEFDE06" w14:textId="77777777" w:rsidR="00F92970" w:rsidRDefault="00F92970" w:rsidP="001B55CA">
            <w:pPr>
              <w:tabs>
                <w:tab w:val="decimal" w:pos="454"/>
              </w:tabs>
            </w:pPr>
            <w:r>
              <w:t>2.36</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3F257155" w14:textId="77777777" w:rsidR="00F92970" w:rsidRDefault="00F92970" w:rsidP="00BA498E">
            <w:pPr>
              <w:jc w:val="center"/>
            </w:pPr>
            <w:r>
              <w:t>21</w:t>
            </w:r>
            <w:r>
              <w:noBreakHyphen/>
              <w:t>31</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1A79ABF6" w14:textId="77777777" w:rsidR="00F92970" w:rsidRPr="00D07286" w:rsidRDefault="00F92970" w:rsidP="00714B86">
            <w:pPr>
              <w:jc w:val="center"/>
            </w:pPr>
            <w:r w:rsidRPr="00D07286">
              <w:t>15</w:t>
            </w:r>
            <w:r w:rsidRPr="00D07286">
              <w:noBreakHyphen/>
              <w:t>30</w:t>
            </w:r>
          </w:p>
        </w:tc>
        <w:tc>
          <w:tcPr>
            <w:tcW w:w="1289" w:type="dxa"/>
            <w:tcBorders>
              <w:top w:val="single" w:sz="6" w:space="0" w:color="FFFFFF"/>
              <w:left w:val="single" w:sz="8" w:space="0" w:color="auto"/>
              <w:bottom w:val="single" w:sz="6" w:space="0" w:color="FFFFFF"/>
              <w:right w:val="single" w:sz="12" w:space="0" w:color="auto"/>
            </w:tcBorders>
            <w:vAlign w:val="center"/>
          </w:tcPr>
          <w:p w14:paraId="48C6CD4A" w14:textId="77777777" w:rsidR="00F92970" w:rsidRPr="00D07286" w:rsidRDefault="000C553A" w:rsidP="00714B86">
            <w:pPr>
              <w:jc w:val="center"/>
            </w:pPr>
            <w:r>
              <w:t>17-35</w:t>
            </w:r>
          </w:p>
        </w:tc>
      </w:tr>
      <w:tr w:rsidR="00F92970" w14:paraId="242CB10B"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5DE7A47F" w14:textId="77777777" w:rsidR="00F92970" w:rsidRDefault="00F92970" w:rsidP="001B55CA">
            <w:pPr>
              <w:tabs>
                <w:tab w:val="decimal" w:pos="454"/>
              </w:tabs>
            </w:pPr>
            <w:r>
              <w:t>1.18</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1A9E8A82" w14:textId="77777777" w:rsidR="00F92970" w:rsidRDefault="00F92970" w:rsidP="00BA498E">
            <w:pPr>
              <w:jc w:val="center"/>
            </w:pPr>
            <w:r>
              <w:t>16</w:t>
            </w:r>
            <w:r>
              <w:noBreakHyphen/>
              <w:t>25</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4F34660E" w14:textId="77777777" w:rsidR="00F92970" w:rsidRPr="00D07286" w:rsidRDefault="00F92970" w:rsidP="00714B86">
            <w:pPr>
              <w:jc w:val="center"/>
            </w:pPr>
            <w:r w:rsidRPr="00D07286">
              <w:t>13</w:t>
            </w:r>
            <w:r w:rsidRPr="00D07286">
              <w:noBreakHyphen/>
              <w:t>24</w:t>
            </w:r>
          </w:p>
        </w:tc>
        <w:tc>
          <w:tcPr>
            <w:tcW w:w="1289" w:type="dxa"/>
            <w:tcBorders>
              <w:top w:val="single" w:sz="6" w:space="0" w:color="FFFFFF"/>
              <w:left w:val="single" w:sz="8" w:space="0" w:color="auto"/>
              <w:bottom w:val="single" w:sz="6" w:space="0" w:color="FFFFFF"/>
              <w:right w:val="single" w:sz="12" w:space="0" w:color="auto"/>
            </w:tcBorders>
            <w:vAlign w:val="center"/>
          </w:tcPr>
          <w:p w14:paraId="283C1635" w14:textId="77777777" w:rsidR="00F92970" w:rsidRPr="00D07286" w:rsidRDefault="000C553A" w:rsidP="00714B86">
            <w:pPr>
              <w:jc w:val="center"/>
            </w:pPr>
            <w:r>
              <w:t>16-28</w:t>
            </w:r>
          </w:p>
        </w:tc>
      </w:tr>
      <w:tr w:rsidR="00F92970" w14:paraId="3C95DB42"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6190B8E7" w14:textId="77777777" w:rsidR="00F92970" w:rsidRDefault="00F92970" w:rsidP="001B55CA">
            <w:pPr>
              <w:tabs>
                <w:tab w:val="decimal" w:pos="454"/>
              </w:tabs>
            </w:pPr>
            <w:r>
              <w:t>0.600</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081261D2" w14:textId="77777777" w:rsidR="00F92970" w:rsidRDefault="00F92970" w:rsidP="00BA498E">
            <w:pPr>
              <w:jc w:val="center"/>
            </w:pPr>
            <w:r>
              <w:t>14</w:t>
            </w:r>
            <w:r>
              <w:noBreakHyphen/>
              <w:t>22</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443F57FB" w14:textId="77777777" w:rsidR="00F92970" w:rsidRPr="00D07286" w:rsidRDefault="00F92970" w:rsidP="00714B86">
            <w:pPr>
              <w:jc w:val="center"/>
            </w:pPr>
            <w:r w:rsidRPr="00D07286">
              <w:t>12</w:t>
            </w:r>
            <w:r w:rsidRPr="00D07286">
              <w:noBreakHyphen/>
              <w:t>21</w:t>
            </w:r>
          </w:p>
        </w:tc>
        <w:tc>
          <w:tcPr>
            <w:tcW w:w="1289" w:type="dxa"/>
            <w:tcBorders>
              <w:top w:val="single" w:sz="6" w:space="0" w:color="FFFFFF"/>
              <w:left w:val="single" w:sz="8" w:space="0" w:color="auto"/>
              <w:bottom w:val="single" w:sz="6" w:space="0" w:color="FFFFFF"/>
              <w:right w:val="single" w:sz="12" w:space="0" w:color="auto"/>
            </w:tcBorders>
            <w:vAlign w:val="center"/>
          </w:tcPr>
          <w:p w14:paraId="4D1F15D8" w14:textId="77777777" w:rsidR="00F92970" w:rsidRPr="00D07286" w:rsidRDefault="0084125A" w:rsidP="00714B86">
            <w:pPr>
              <w:jc w:val="center"/>
            </w:pPr>
            <w:r>
              <w:t>12-24</w:t>
            </w:r>
          </w:p>
        </w:tc>
      </w:tr>
      <w:tr w:rsidR="00F92970" w14:paraId="1CC0F2B6"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5C093A02" w14:textId="77777777" w:rsidR="00F92970" w:rsidRDefault="00F92970" w:rsidP="001B55CA">
            <w:pPr>
              <w:tabs>
                <w:tab w:val="decimal" w:pos="454"/>
              </w:tabs>
            </w:pPr>
            <w:r>
              <w:t>0.300</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6903400E" w14:textId="77777777" w:rsidR="00F92970" w:rsidRDefault="00F92970" w:rsidP="00BA498E">
            <w:pPr>
              <w:jc w:val="center"/>
            </w:pPr>
            <w:r>
              <w:t>12</w:t>
            </w:r>
            <w:r>
              <w:noBreakHyphen/>
              <w:t>19</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3CBD576A" w14:textId="77777777" w:rsidR="00F92970" w:rsidRPr="00D07286" w:rsidRDefault="00F92970" w:rsidP="00714B86">
            <w:pPr>
              <w:jc w:val="center"/>
            </w:pPr>
            <w:r w:rsidRPr="00D07286">
              <w:t>10</w:t>
            </w:r>
            <w:r w:rsidRPr="00D07286">
              <w:noBreakHyphen/>
              <w:t>18</w:t>
            </w:r>
          </w:p>
        </w:tc>
        <w:tc>
          <w:tcPr>
            <w:tcW w:w="1289" w:type="dxa"/>
            <w:tcBorders>
              <w:top w:val="single" w:sz="6" w:space="0" w:color="FFFFFF"/>
              <w:left w:val="single" w:sz="8" w:space="0" w:color="auto"/>
              <w:bottom w:val="single" w:sz="6" w:space="0" w:color="FFFFFF"/>
              <w:right w:val="single" w:sz="12" w:space="0" w:color="auto"/>
            </w:tcBorders>
            <w:vAlign w:val="center"/>
          </w:tcPr>
          <w:p w14:paraId="46CF60CA" w14:textId="77777777" w:rsidR="00F92970" w:rsidRPr="00D07286" w:rsidRDefault="0084125A" w:rsidP="00714B86">
            <w:pPr>
              <w:jc w:val="center"/>
            </w:pPr>
            <w:r>
              <w:t>10-20</w:t>
            </w:r>
          </w:p>
        </w:tc>
      </w:tr>
      <w:tr w:rsidR="00F92970" w14:paraId="6E815344" w14:textId="77777777" w:rsidTr="00F92970">
        <w:trPr>
          <w:cantSplit/>
          <w:jc w:val="center"/>
        </w:trPr>
        <w:tc>
          <w:tcPr>
            <w:tcW w:w="1323" w:type="dxa"/>
            <w:tcBorders>
              <w:top w:val="single" w:sz="6" w:space="0" w:color="FFFFFF"/>
              <w:left w:val="single" w:sz="12" w:space="0" w:color="auto"/>
              <w:bottom w:val="single" w:sz="6" w:space="0" w:color="FFFFFF"/>
              <w:right w:val="single" w:sz="8" w:space="0" w:color="auto"/>
            </w:tcBorders>
            <w:tcMar>
              <w:right w:w="397" w:type="dxa"/>
            </w:tcMar>
            <w:vAlign w:val="center"/>
          </w:tcPr>
          <w:p w14:paraId="312BF4FA" w14:textId="77777777" w:rsidR="00F92970" w:rsidRDefault="00F92970" w:rsidP="001B55CA">
            <w:pPr>
              <w:tabs>
                <w:tab w:val="decimal" w:pos="454"/>
              </w:tabs>
            </w:pPr>
            <w:r>
              <w:t>0.150</w:t>
            </w:r>
          </w:p>
        </w:tc>
        <w:tc>
          <w:tcPr>
            <w:tcW w:w="1527" w:type="dxa"/>
            <w:tcBorders>
              <w:top w:val="single" w:sz="6" w:space="0" w:color="FFFFFF"/>
              <w:left w:val="nil"/>
              <w:bottom w:val="single" w:sz="6" w:space="0" w:color="FFFFFF"/>
              <w:right w:val="single" w:sz="8" w:space="0" w:color="auto"/>
            </w:tcBorders>
            <w:tcMar>
              <w:top w:w="85" w:type="dxa"/>
              <w:bottom w:w="28" w:type="dxa"/>
            </w:tcMar>
          </w:tcPr>
          <w:p w14:paraId="7E61F1E2" w14:textId="77777777" w:rsidR="00F92970" w:rsidRDefault="00F92970" w:rsidP="00BA498E">
            <w:pPr>
              <w:jc w:val="center"/>
            </w:pPr>
            <w:r>
              <w:t>9</w:t>
            </w:r>
            <w:r>
              <w:noBreakHyphen/>
              <w:t>15</w:t>
            </w:r>
          </w:p>
        </w:tc>
        <w:tc>
          <w:tcPr>
            <w:tcW w:w="1276" w:type="dxa"/>
            <w:tcBorders>
              <w:top w:val="single" w:sz="6" w:space="0" w:color="FFFFFF"/>
              <w:left w:val="nil"/>
              <w:bottom w:val="single" w:sz="6" w:space="0" w:color="FFFFFF"/>
              <w:right w:val="single" w:sz="8" w:space="0" w:color="auto"/>
            </w:tcBorders>
            <w:tcMar>
              <w:bottom w:w="28" w:type="dxa"/>
            </w:tcMar>
            <w:vAlign w:val="center"/>
          </w:tcPr>
          <w:p w14:paraId="0E896DDB" w14:textId="77777777" w:rsidR="00F92970" w:rsidRPr="00D07286" w:rsidRDefault="00F92970" w:rsidP="00714B86">
            <w:pPr>
              <w:jc w:val="center"/>
            </w:pPr>
            <w:r w:rsidRPr="00D07286">
              <w:t>9</w:t>
            </w:r>
            <w:r w:rsidRPr="00D07286">
              <w:noBreakHyphen/>
              <w:t>15</w:t>
            </w:r>
          </w:p>
        </w:tc>
        <w:tc>
          <w:tcPr>
            <w:tcW w:w="1289" w:type="dxa"/>
            <w:tcBorders>
              <w:top w:val="single" w:sz="6" w:space="0" w:color="FFFFFF"/>
              <w:left w:val="single" w:sz="8" w:space="0" w:color="auto"/>
              <w:bottom w:val="single" w:sz="6" w:space="0" w:color="FFFFFF"/>
              <w:right w:val="single" w:sz="12" w:space="0" w:color="auto"/>
            </w:tcBorders>
            <w:vAlign w:val="center"/>
          </w:tcPr>
          <w:p w14:paraId="49481CAF" w14:textId="77777777" w:rsidR="00F92970" w:rsidRPr="00D07286" w:rsidRDefault="0084125A" w:rsidP="00714B86">
            <w:pPr>
              <w:jc w:val="center"/>
            </w:pPr>
            <w:r>
              <w:t>8-16</w:t>
            </w:r>
          </w:p>
        </w:tc>
      </w:tr>
      <w:tr w:rsidR="00F92970" w14:paraId="7D0F7E6F" w14:textId="77777777" w:rsidTr="00F92970">
        <w:trPr>
          <w:cantSplit/>
          <w:jc w:val="center"/>
        </w:trPr>
        <w:tc>
          <w:tcPr>
            <w:tcW w:w="1323" w:type="dxa"/>
            <w:tcBorders>
              <w:top w:val="single" w:sz="6" w:space="0" w:color="FFFFFF"/>
              <w:left w:val="single" w:sz="12" w:space="0" w:color="auto"/>
              <w:bottom w:val="single" w:sz="12" w:space="0" w:color="auto"/>
              <w:right w:val="single" w:sz="8" w:space="0" w:color="auto"/>
            </w:tcBorders>
            <w:tcMar>
              <w:right w:w="397" w:type="dxa"/>
            </w:tcMar>
            <w:vAlign w:val="center"/>
          </w:tcPr>
          <w:p w14:paraId="726454E8" w14:textId="77777777" w:rsidR="00F92970" w:rsidRDefault="00F92970" w:rsidP="001B55CA">
            <w:pPr>
              <w:tabs>
                <w:tab w:val="decimal" w:pos="454"/>
              </w:tabs>
            </w:pPr>
            <w:r>
              <w:t>0.075</w:t>
            </w:r>
          </w:p>
        </w:tc>
        <w:tc>
          <w:tcPr>
            <w:tcW w:w="1527" w:type="dxa"/>
            <w:tcBorders>
              <w:top w:val="single" w:sz="6" w:space="0" w:color="FFFFFF"/>
              <w:left w:val="nil"/>
              <w:bottom w:val="single" w:sz="12" w:space="0" w:color="auto"/>
              <w:right w:val="single" w:sz="8" w:space="0" w:color="auto"/>
            </w:tcBorders>
            <w:tcMar>
              <w:top w:w="85" w:type="dxa"/>
              <w:bottom w:w="28" w:type="dxa"/>
            </w:tcMar>
          </w:tcPr>
          <w:p w14:paraId="0E1A3634" w14:textId="77777777" w:rsidR="00F92970" w:rsidRDefault="00F92970" w:rsidP="00BA498E">
            <w:pPr>
              <w:jc w:val="center"/>
            </w:pPr>
            <w:r>
              <w:t>8</w:t>
            </w:r>
            <w:r>
              <w:noBreakHyphen/>
              <w:t>12</w:t>
            </w:r>
          </w:p>
        </w:tc>
        <w:tc>
          <w:tcPr>
            <w:tcW w:w="1276" w:type="dxa"/>
            <w:tcBorders>
              <w:top w:val="single" w:sz="6" w:space="0" w:color="FFFFFF"/>
              <w:left w:val="nil"/>
              <w:bottom w:val="single" w:sz="12" w:space="0" w:color="auto"/>
              <w:right w:val="single" w:sz="8" w:space="0" w:color="auto"/>
            </w:tcBorders>
            <w:tcMar>
              <w:bottom w:w="28" w:type="dxa"/>
            </w:tcMar>
            <w:vAlign w:val="center"/>
          </w:tcPr>
          <w:p w14:paraId="1E9E2E5A" w14:textId="77777777" w:rsidR="00F92970" w:rsidRPr="00D07286" w:rsidRDefault="00F92970" w:rsidP="00714B86">
            <w:pPr>
              <w:jc w:val="center"/>
            </w:pPr>
            <w:r w:rsidRPr="00D07286">
              <w:t>8</w:t>
            </w:r>
            <w:r w:rsidRPr="00D07286">
              <w:noBreakHyphen/>
              <w:t>12</w:t>
            </w:r>
          </w:p>
        </w:tc>
        <w:tc>
          <w:tcPr>
            <w:tcW w:w="1289" w:type="dxa"/>
            <w:tcBorders>
              <w:top w:val="single" w:sz="6" w:space="0" w:color="FFFFFF"/>
              <w:left w:val="single" w:sz="8" w:space="0" w:color="auto"/>
              <w:bottom w:val="single" w:sz="12" w:space="0" w:color="auto"/>
              <w:right w:val="single" w:sz="12" w:space="0" w:color="auto"/>
            </w:tcBorders>
            <w:vAlign w:val="center"/>
          </w:tcPr>
          <w:p w14:paraId="3564F4C8" w14:textId="77777777" w:rsidR="00F92970" w:rsidRPr="00D07286" w:rsidRDefault="0084125A" w:rsidP="00714B86">
            <w:pPr>
              <w:jc w:val="center"/>
            </w:pPr>
            <w:r>
              <w:t>8-13</w:t>
            </w:r>
          </w:p>
        </w:tc>
      </w:tr>
    </w:tbl>
    <w:p w14:paraId="56726A19" w14:textId="77777777" w:rsidR="002F570E" w:rsidRDefault="002F570E" w:rsidP="00541431">
      <w:pPr>
        <w:spacing w:line="240" w:lineRule="exact"/>
      </w:pPr>
    </w:p>
    <w:p w14:paraId="7E5D31FF" w14:textId="77777777" w:rsidR="002F570E" w:rsidRDefault="002F570E" w:rsidP="004F41F3">
      <w:pPr>
        <w:tabs>
          <w:tab w:val="left" w:pos="454"/>
        </w:tabs>
        <w:ind w:left="454" w:hanging="454"/>
      </w:pPr>
      <w:r>
        <w:t>(b)</w:t>
      </w:r>
      <w:r>
        <w:tab/>
        <w:t>The proportions of mineral matter, bitumen and cellulose fibre additive shall lie within the limits shown in Table 404.062 below:</w:t>
      </w:r>
    </w:p>
    <w:p w14:paraId="5853F993" w14:textId="77777777" w:rsidR="002F570E" w:rsidRPr="004F41F3" w:rsidRDefault="00B406B8" w:rsidP="00541431">
      <w:pPr>
        <w:tabs>
          <w:tab w:val="left" w:pos="454"/>
        </w:tabs>
        <w:spacing w:before="100" w:after="20"/>
        <w:rPr>
          <w:b/>
        </w:rPr>
      </w:pPr>
      <w:r w:rsidRPr="004F41F3">
        <w:rPr>
          <w:b/>
        </w:rPr>
        <w:tab/>
      </w:r>
      <w:r w:rsidR="002F570E" w:rsidRPr="004F41F3">
        <w:rPr>
          <w:b/>
        </w:rPr>
        <w:t>Table 404.06</w:t>
      </w:r>
      <w:r w:rsidR="00612296" w:rsidRPr="004F41F3">
        <w:rPr>
          <w:b/>
        </w:rPr>
        <w:t>2</w:t>
      </w:r>
      <w:r w:rsidRPr="004F41F3">
        <w:rPr>
          <w:b/>
        </w:rPr>
        <w:t xml:space="preserve">  </w:t>
      </w:r>
      <w:r w:rsidR="00612296" w:rsidRPr="004F41F3">
        <w:rPr>
          <w:b/>
        </w:rPr>
        <w:t xml:space="preserve">Proportions </w:t>
      </w:r>
      <w:r w:rsidR="005B1798" w:rsidRPr="004F41F3">
        <w:rPr>
          <w:b/>
        </w:rPr>
        <w:t>of</w:t>
      </w:r>
      <w:r w:rsidR="00612296" w:rsidRPr="004F41F3">
        <w:rPr>
          <w:b/>
        </w:rPr>
        <w:t xml:space="preserve"> Mineral Matter, Binder and Cellulose Fibres</w:t>
      </w:r>
    </w:p>
    <w:tbl>
      <w:tblPr>
        <w:tblW w:w="0" w:type="auto"/>
        <w:jc w:val="center"/>
        <w:tblLayout w:type="fixed"/>
        <w:tblCellMar>
          <w:top w:w="91" w:type="dxa"/>
          <w:left w:w="85" w:type="dxa"/>
          <w:bottom w:w="28" w:type="dxa"/>
          <w:right w:w="85" w:type="dxa"/>
        </w:tblCellMar>
        <w:tblLook w:val="0000" w:firstRow="0" w:lastRow="0" w:firstColumn="0" w:lastColumn="0" w:noHBand="0" w:noVBand="0"/>
      </w:tblPr>
      <w:tblGrid>
        <w:gridCol w:w="2096"/>
        <w:gridCol w:w="1544"/>
        <w:gridCol w:w="1544"/>
        <w:gridCol w:w="1788"/>
      </w:tblGrid>
      <w:tr w:rsidR="006906B3" w:rsidRPr="008871D8" w14:paraId="135C5115" w14:textId="77777777" w:rsidTr="00541431">
        <w:trPr>
          <w:jc w:val="center"/>
        </w:trPr>
        <w:tc>
          <w:tcPr>
            <w:tcW w:w="2096" w:type="dxa"/>
            <w:vMerge w:val="restart"/>
            <w:tcBorders>
              <w:top w:val="single" w:sz="12" w:space="0" w:color="auto"/>
              <w:left w:val="single" w:sz="12" w:space="0" w:color="auto"/>
              <w:right w:val="single" w:sz="8" w:space="0" w:color="auto"/>
            </w:tcBorders>
            <w:tcMar>
              <w:top w:w="57" w:type="dxa"/>
            </w:tcMar>
            <w:vAlign w:val="center"/>
          </w:tcPr>
          <w:p w14:paraId="289A52A6" w14:textId="77777777" w:rsidR="006906B3" w:rsidRPr="008871D8" w:rsidRDefault="006906B3" w:rsidP="008871D8">
            <w:pPr>
              <w:jc w:val="center"/>
              <w:rPr>
                <w:b/>
              </w:rPr>
            </w:pPr>
            <w:r w:rsidRPr="008871D8">
              <w:rPr>
                <w:b/>
              </w:rPr>
              <w:t>Material</w:t>
            </w:r>
          </w:p>
        </w:tc>
        <w:tc>
          <w:tcPr>
            <w:tcW w:w="4876" w:type="dxa"/>
            <w:gridSpan w:val="3"/>
            <w:tcBorders>
              <w:top w:val="single" w:sz="12" w:space="0" w:color="auto"/>
              <w:left w:val="nil"/>
              <w:bottom w:val="single" w:sz="8" w:space="0" w:color="auto"/>
              <w:right w:val="single" w:sz="12" w:space="0" w:color="auto"/>
            </w:tcBorders>
            <w:tcMar>
              <w:top w:w="57" w:type="dxa"/>
            </w:tcMar>
            <w:vAlign w:val="center"/>
          </w:tcPr>
          <w:p w14:paraId="43616067" w14:textId="77777777" w:rsidR="006906B3" w:rsidRPr="008871D8" w:rsidRDefault="006906B3" w:rsidP="008871D8">
            <w:pPr>
              <w:jc w:val="center"/>
              <w:rPr>
                <w:b/>
              </w:rPr>
            </w:pPr>
            <w:r w:rsidRPr="008871D8">
              <w:rPr>
                <w:b/>
              </w:rPr>
              <w:t>Percentage</w:t>
            </w:r>
          </w:p>
          <w:p w14:paraId="09BC2ECE" w14:textId="77777777" w:rsidR="006906B3" w:rsidRPr="008871D8" w:rsidRDefault="006906B3" w:rsidP="008871D8">
            <w:pPr>
              <w:jc w:val="center"/>
              <w:rPr>
                <w:b/>
              </w:rPr>
            </w:pPr>
            <w:r w:rsidRPr="008871D8">
              <w:rPr>
                <w:b/>
              </w:rPr>
              <w:t>(by total mass of mix)</w:t>
            </w:r>
          </w:p>
        </w:tc>
      </w:tr>
      <w:tr w:rsidR="006906B3" w:rsidRPr="008871D8" w14:paraId="1CA2EA22" w14:textId="77777777" w:rsidTr="00541431">
        <w:trPr>
          <w:jc w:val="center"/>
        </w:trPr>
        <w:tc>
          <w:tcPr>
            <w:tcW w:w="2096" w:type="dxa"/>
            <w:vMerge/>
            <w:tcBorders>
              <w:left w:val="single" w:sz="12" w:space="0" w:color="auto"/>
              <w:bottom w:val="single" w:sz="12" w:space="0" w:color="auto"/>
              <w:right w:val="single" w:sz="8" w:space="0" w:color="auto"/>
            </w:tcBorders>
            <w:tcMar>
              <w:top w:w="57" w:type="dxa"/>
            </w:tcMar>
            <w:vAlign w:val="center"/>
          </w:tcPr>
          <w:p w14:paraId="579F479A" w14:textId="77777777" w:rsidR="006906B3" w:rsidRPr="008871D8" w:rsidRDefault="006906B3" w:rsidP="008871D8">
            <w:pPr>
              <w:jc w:val="center"/>
              <w:rPr>
                <w:b/>
              </w:rPr>
            </w:pPr>
          </w:p>
        </w:tc>
        <w:tc>
          <w:tcPr>
            <w:tcW w:w="1544" w:type="dxa"/>
            <w:tcBorders>
              <w:top w:val="single" w:sz="8" w:space="0" w:color="auto"/>
              <w:left w:val="nil"/>
              <w:bottom w:val="single" w:sz="12" w:space="0" w:color="auto"/>
              <w:right w:val="single" w:sz="8" w:space="0" w:color="auto"/>
            </w:tcBorders>
            <w:tcMar>
              <w:top w:w="57" w:type="dxa"/>
            </w:tcMar>
            <w:vAlign w:val="center"/>
          </w:tcPr>
          <w:p w14:paraId="148AC8E6" w14:textId="77777777" w:rsidR="006906B3" w:rsidRPr="008871D8" w:rsidRDefault="006906B3" w:rsidP="008871D8">
            <w:pPr>
              <w:jc w:val="center"/>
              <w:rPr>
                <w:b/>
              </w:rPr>
            </w:pPr>
            <w:r w:rsidRPr="008871D8">
              <w:rPr>
                <w:b/>
              </w:rPr>
              <w:t>SMA</w:t>
            </w:r>
            <w:r>
              <w:rPr>
                <w:b/>
              </w:rPr>
              <w:t>10</w:t>
            </w:r>
            <w:r w:rsidRPr="008871D8">
              <w:rPr>
                <w:b/>
              </w:rPr>
              <w:t>N</w:t>
            </w:r>
          </w:p>
        </w:tc>
        <w:tc>
          <w:tcPr>
            <w:tcW w:w="1544" w:type="dxa"/>
            <w:tcBorders>
              <w:top w:val="single" w:sz="8" w:space="0" w:color="auto"/>
              <w:left w:val="single" w:sz="8" w:space="0" w:color="auto"/>
              <w:bottom w:val="single" w:sz="12" w:space="0" w:color="auto"/>
              <w:right w:val="single" w:sz="8" w:space="0" w:color="auto"/>
            </w:tcBorders>
            <w:tcMar>
              <w:top w:w="57" w:type="dxa"/>
            </w:tcMar>
            <w:vAlign w:val="center"/>
          </w:tcPr>
          <w:p w14:paraId="2B49CCE3" w14:textId="77777777" w:rsidR="006906B3" w:rsidRPr="007F43F6" w:rsidRDefault="006906B3" w:rsidP="007F43F6">
            <w:pPr>
              <w:jc w:val="center"/>
              <w:rPr>
                <w:b/>
              </w:rPr>
            </w:pPr>
            <w:r w:rsidRPr="007F43F6">
              <w:rPr>
                <w:b/>
              </w:rPr>
              <w:t>SMA</w:t>
            </w:r>
            <w:r>
              <w:rPr>
                <w:b/>
              </w:rPr>
              <w:t>10</w:t>
            </w:r>
            <w:r w:rsidRPr="007F43F6">
              <w:rPr>
                <w:b/>
              </w:rPr>
              <w:t>H</w:t>
            </w:r>
          </w:p>
        </w:tc>
        <w:tc>
          <w:tcPr>
            <w:tcW w:w="1788" w:type="dxa"/>
            <w:tcBorders>
              <w:top w:val="single" w:sz="8" w:space="0" w:color="auto"/>
              <w:left w:val="single" w:sz="8" w:space="0" w:color="auto"/>
              <w:bottom w:val="single" w:sz="12" w:space="0" w:color="auto"/>
              <w:right w:val="single" w:sz="12" w:space="0" w:color="auto"/>
            </w:tcBorders>
            <w:tcMar>
              <w:top w:w="57" w:type="dxa"/>
            </w:tcMar>
          </w:tcPr>
          <w:p w14:paraId="4945F62F" w14:textId="77777777" w:rsidR="00890CC6" w:rsidRDefault="00890CC6" w:rsidP="00890CC6">
            <w:pPr>
              <w:jc w:val="center"/>
              <w:rPr>
                <w:b/>
              </w:rPr>
            </w:pPr>
            <w:r>
              <w:rPr>
                <w:b/>
              </w:rPr>
              <w:t>SMA7N</w:t>
            </w:r>
          </w:p>
          <w:p w14:paraId="1C023B20" w14:textId="77777777" w:rsidR="006906B3" w:rsidRPr="007F43F6" w:rsidRDefault="00890CC6" w:rsidP="00890CC6">
            <w:pPr>
              <w:jc w:val="center"/>
              <w:rPr>
                <w:b/>
              </w:rPr>
            </w:pPr>
            <w:r>
              <w:rPr>
                <w:b/>
              </w:rPr>
              <w:t>SMA7H</w:t>
            </w:r>
          </w:p>
        </w:tc>
      </w:tr>
      <w:tr w:rsidR="006906B3" w14:paraId="799080FA" w14:textId="77777777" w:rsidTr="00541431">
        <w:trPr>
          <w:jc w:val="center"/>
        </w:trPr>
        <w:tc>
          <w:tcPr>
            <w:tcW w:w="2096" w:type="dxa"/>
            <w:tcBorders>
              <w:top w:val="single" w:sz="12" w:space="0" w:color="auto"/>
              <w:left w:val="single" w:sz="12" w:space="0" w:color="auto"/>
              <w:bottom w:val="single" w:sz="6" w:space="0" w:color="FFFFFF"/>
              <w:right w:val="single" w:sz="8" w:space="0" w:color="auto"/>
            </w:tcBorders>
            <w:tcMar>
              <w:top w:w="57" w:type="dxa"/>
            </w:tcMar>
          </w:tcPr>
          <w:p w14:paraId="30FCD3F9" w14:textId="77777777" w:rsidR="006906B3" w:rsidRDefault="006906B3" w:rsidP="008871D8">
            <w:r>
              <w:t>Mineral Matter</w:t>
            </w:r>
          </w:p>
        </w:tc>
        <w:tc>
          <w:tcPr>
            <w:tcW w:w="1544" w:type="dxa"/>
            <w:tcBorders>
              <w:top w:val="single" w:sz="12" w:space="0" w:color="auto"/>
              <w:left w:val="nil"/>
              <w:bottom w:val="single" w:sz="6" w:space="0" w:color="FFFFFF"/>
              <w:right w:val="single" w:sz="8" w:space="0" w:color="auto"/>
            </w:tcBorders>
            <w:tcMar>
              <w:top w:w="57" w:type="dxa"/>
            </w:tcMar>
          </w:tcPr>
          <w:p w14:paraId="6E5CC515" w14:textId="77777777" w:rsidR="006906B3" w:rsidRPr="005A1527" w:rsidRDefault="006906B3" w:rsidP="008871D8">
            <w:pPr>
              <w:jc w:val="center"/>
            </w:pPr>
            <w:r w:rsidRPr="005A1527">
              <w:t xml:space="preserve">93.4 </w:t>
            </w:r>
            <w:r w:rsidRPr="005A1527">
              <w:noBreakHyphen/>
              <w:t xml:space="preserve"> 92.4</w:t>
            </w:r>
          </w:p>
        </w:tc>
        <w:tc>
          <w:tcPr>
            <w:tcW w:w="1544" w:type="dxa"/>
            <w:tcBorders>
              <w:top w:val="single" w:sz="12" w:space="0" w:color="auto"/>
              <w:left w:val="nil"/>
              <w:bottom w:val="single" w:sz="6" w:space="0" w:color="FFFFFF"/>
              <w:right w:val="single" w:sz="12" w:space="0" w:color="auto"/>
            </w:tcBorders>
            <w:tcMar>
              <w:top w:w="57" w:type="dxa"/>
            </w:tcMar>
            <w:vAlign w:val="center"/>
          </w:tcPr>
          <w:p w14:paraId="7801975C" w14:textId="77777777" w:rsidR="006906B3" w:rsidRPr="005A1527" w:rsidRDefault="006906B3" w:rsidP="00864D4F">
            <w:pPr>
              <w:jc w:val="center"/>
            </w:pPr>
            <w:r w:rsidRPr="005A1527">
              <w:t>93.7 – 92.7</w:t>
            </w:r>
          </w:p>
        </w:tc>
        <w:tc>
          <w:tcPr>
            <w:tcW w:w="1788" w:type="dxa"/>
            <w:tcBorders>
              <w:top w:val="single" w:sz="12" w:space="0" w:color="auto"/>
              <w:left w:val="nil"/>
              <w:bottom w:val="single" w:sz="6" w:space="0" w:color="FFFFFF"/>
              <w:right w:val="single" w:sz="12" w:space="0" w:color="auto"/>
            </w:tcBorders>
            <w:tcMar>
              <w:top w:w="57" w:type="dxa"/>
            </w:tcMar>
          </w:tcPr>
          <w:p w14:paraId="70189171" w14:textId="77777777" w:rsidR="006906B3" w:rsidRPr="005A1527" w:rsidRDefault="00890CC6" w:rsidP="00864D4F">
            <w:pPr>
              <w:jc w:val="center"/>
            </w:pPr>
            <w:r w:rsidRPr="00890CC6">
              <w:t>93.4 - 92.4</w:t>
            </w:r>
          </w:p>
        </w:tc>
      </w:tr>
      <w:tr w:rsidR="006906B3" w14:paraId="68B05ECE" w14:textId="77777777" w:rsidTr="00541431">
        <w:trPr>
          <w:jc w:val="center"/>
        </w:trPr>
        <w:tc>
          <w:tcPr>
            <w:tcW w:w="2096" w:type="dxa"/>
            <w:tcBorders>
              <w:top w:val="single" w:sz="6" w:space="0" w:color="FFFFFF"/>
              <w:left w:val="single" w:sz="12" w:space="0" w:color="auto"/>
              <w:bottom w:val="single" w:sz="6" w:space="0" w:color="FFFFFF"/>
              <w:right w:val="single" w:sz="8" w:space="0" w:color="auto"/>
            </w:tcBorders>
            <w:tcMar>
              <w:top w:w="57" w:type="dxa"/>
            </w:tcMar>
          </w:tcPr>
          <w:p w14:paraId="37B0EA6F" w14:textId="77777777" w:rsidR="006906B3" w:rsidRDefault="006906B3" w:rsidP="008871D8">
            <w:r>
              <w:t>Bitumen</w:t>
            </w:r>
          </w:p>
        </w:tc>
        <w:tc>
          <w:tcPr>
            <w:tcW w:w="1544" w:type="dxa"/>
            <w:tcBorders>
              <w:top w:val="single" w:sz="6" w:space="0" w:color="FFFFFF"/>
              <w:left w:val="nil"/>
              <w:bottom w:val="single" w:sz="6" w:space="0" w:color="FFFFFF"/>
              <w:right w:val="single" w:sz="8" w:space="0" w:color="auto"/>
            </w:tcBorders>
            <w:tcMar>
              <w:top w:w="57" w:type="dxa"/>
            </w:tcMar>
          </w:tcPr>
          <w:p w14:paraId="191E88A8" w14:textId="77777777" w:rsidR="006906B3" w:rsidRPr="005A1527" w:rsidRDefault="006906B3" w:rsidP="008871D8">
            <w:pPr>
              <w:jc w:val="center"/>
            </w:pPr>
            <w:r w:rsidRPr="005A1527">
              <w:t xml:space="preserve">6.5 </w:t>
            </w:r>
            <w:r w:rsidRPr="005A1527">
              <w:noBreakHyphen/>
              <w:t xml:space="preserve"> 7.5</w:t>
            </w:r>
          </w:p>
        </w:tc>
        <w:tc>
          <w:tcPr>
            <w:tcW w:w="1544" w:type="dxa"/>
            <w:tcBorders>
              <w:top w:val="single" w:sz="6" w:space="0" w:color="FFFFFF"/>
              <w:left w:val="nil"/>
              <w:bottom w:val="single" w:sz="6" w:space="0" w:color="FFFFFF"/>
              <w:right w:val="single" w:sz="12" w:space="0" w:color="auto"/>
            </w:tcBorders>
            <w:tcMar>
              <w:top w:w="57" w:type="dxa"/>
            </w:tcMar>
            <w:vAlign w:val="center"/>
          </w:tcPr>
          <w:p w14:paraId="436D50D3" w14:textId="77777777" w:rsidR="006906B3" w:rsidRPr="005A1527" w:rsidRDefault="006906B3" w:rsidP="00864D4F">
            <w:pPr>
              <w:jc w:val="center"/>
            </w:pPr>
            <w:r w:rsidRPr="005A1527">
              <w:t xml:space="preserve">6.0 </w:t>
            </w:r>
            <w:r w:rsidRPr="005A1527">
              <w:noBreakHyphen/>
              <w:t xml:space="preserve"> 7.0</w:t>
            </w:r>
          </w:p>
        </w:tc>
        <w:tc>
          <w:tcPr>
            <w:tcW w:w="1788" w:type="dxa"/>
            <w:tcBorders>
              <w:top w:val="single" w:sz="6" w:space="0" w:color="FFFFFF"/>
              <w:left w:val="nil"/>
              <w:bottom w:val="single" w:sz="6" w:space="0" w:color="FFFFFF"/>
              <w:right w:val="single" w:sz="12" w:space="0" w:color="auto"/>
            </w:tcBorders>
            <w:tcMar>
              <w:top w:w="57" w:type="dxa"/>
            </w:tcMar>
          </w:tcPr>
          <w:p w14:paraId="53C2868B" w14:textId="77777777" w:rsidR="006906B3" w:rsidRPr="005A1527" w:rsidRDefault="00890CC6" w:rsidP="00864D4F">
            <w:pPr>
              <w:jc w:val="center"/>
            </w:pPr>
            <w:r w:rsidRPr="00890CC6">
              <w:t>6.5 - 7.5</w:t>
            </w:r>
          </w:p>
        </w:tc>
      </w:tr>
      <w:tr w:rsidR="006906B3" w14:paraId="3A133889" w14:textId="77777777" w:rsidTr="00541431">
        <w:trPr>
          <w:jc w:val="center"/>
        </w:trPr>
        <w:tc>
          <w:tcPr>
            <w:tcW w:w="2096" w:type="dxa"/>
            <w:tcBorders>
              <w:top w:val="single" w:sz="6" w:space="0" w:color="FFFFFF"/>
              <w:left w:val="single" w:sz="12" w:space="0" w:color="auto"/>
              <w:bottom w:val="single" w:sz="12" w:space="0" w:color="auto"/>
              <w:right w:val="single" w:sz="8" w:space="0" w:color="auto"/>
            </w:tcBorders>
            <w:tcMar>
              <w:top w:w="57" w:type="dxa"/>
            </w:tcMar>
          </w:tcPr>
          <w:p w14:paraId="5131FCA5" w14:textId="77777777" w:rsidR="006906B3" w:rsidRDefault="006906B3" w:rsidP="008871D8">
            <w:r>
              <w:t>Cellulose Additive</w:t>
            </w:r>
          </w:p>
        </w:tc>
        <w:tc>
          <w:tcPr>
            <w:tcW w:w="1544" w:type="dxa"/>
            <w:tcBorders>
              <w:top w:val="single" w:sz="6" w:space="0" w:color="FFFFFF"/>
              <w:left w:val="nil"/>
              <w:bottom w:val="single" w:sz="12" w:space="0" w:color="auto"/>
              <w:right w:val="single" w:sz="8" w:space="0" w:color="auto"/>
            </w:tcBorders>
            <w:tcMar>
              <w:top w:w="57" w:type="dxa"/>
            </w:tcMar>
          </w:tcPr>
          <w:p w14:paraId="05B630CB" w14:textId="77777777" w:rsidR="006906B3" w:rsidRPr="005A1527" w:rsidRDefault="006906B3" w:rsidP="008871D8">
            <w:pPr>
              <w:jc w:val="center"/>
            </w:pPr>
            <w:r w:rsidRPr="005A1527">
              <w:t>0.3</w:t>
            </w:r>
          </w:p>
        </w:tc>
        <w:tc>
          <w:tcPr>
            <w:tcW w:w="1544" w:type="dxa"/>
            <w:tcBorders>
              <w:top w:val="single" w:sz="6" w:space="0" w:color="FFFFFF"/>
              <w:left w:val="nil"/>
              <w:bottom w:val="single" w:sz="12" w:space="0" w:color="auto"/>
              <w:right w:val="single" w:sz="12" w:space="0" w:color="auto"/>
            </w:tcBorders>
            <w:tcMar>
              <w:top w:w="57" w:type="dxa"/>
            </w:tcMar>
            <w:vAlign w:val="center"/>
          </w:tcPr>
          <w:p w14:paraId="397A8FF9" w14:textId="77777777" w:rsidR="006906B3" w:rsidRPr="005A1527" w:rsidRDefault="006906B3" w:rsidP="00864D4F">
            <w:pPr>
              <w:jc w:val="center"/>
            </w:pPr>
            <w:r w:rsidRPr="005A1527">
              <w:t>0.3</w:t>
            </w:r>
          </w:p>
        </w:tc>
        <w:tc>
          <w:tcPr>
            <w:tcW w:w="1788" w:type="dxa"/>
            <w:tcBorders>
              <w:top w:val="single" w:sz="6" w:space="0" w:color="FFFFFF"/>
              <w:left w:val="nil"/>
              <w:bottom w:val="single" w:sz="12" w:space="0" w:color="auto"/>
              <w:right w:val="single" w:sz="12" w:space="0" w:color="auto"/>
            </w:tcBorders>
            <w:tcMar>
              <w:top w:w="57" w:type="dxa"/>
            </w:tcMar>
          </w:tcPr>
          <w:p w14:paraId="2DF20E16" w14:textId="77777777" w:rsidR="006906B3" w:rsidRPr="005A1527" w:rsidRDefault="00890CC6" w:rsidP="00864D4F">
            <w:pPr>
              <w:jc w:val="center"/>
            </w:pPr>
            <w:r w:rsidRPr="00890CC6">
              <w:t>0.3</w:t>
            </w:r>
          </w:p>
        </w:tc>
      </w:tr>
    </w:tbl>
    <w:p w14:paraId="0E6CB1BF" w14:textId="77777777" w:rsidR="002F570E" w:rsidRDefault="002F570E" w:rsidP="00541431">
      <w:pPr>
        <w:tabs>
          <w:tab w:val="left" w:pos="454"/>
        </w:tabs>
        <w:spacing w:before="240"/>
        <w:ind w:left="454" w:hanging="454"/>
      </w:pPr>
      <w:r>
        <w:t>(c)</w:t>
      </w:r>
      <w:r>
        <w:tab/>
        <w:t xml:space="preserve">Further to the requirements of 407.04 and 407.06, the mix shall contain a minimum of 8% added filler </w:t>
      </w:r>
      <w:r w:rsidR="00C437FC" w:rsidRPr="005A1527">
        <w:t xml:space="preserve">for </w:t>
      </w:r>
      <w:r w:rsidRPr="005A1527">
        <w:t>SMA</w:t>
      </w:r>
      <w:r w:rsidR="00755121" w:rsidRPr="005A1527">
        <w:t>N</w:t>
      </w:r>
      <w:r w:rsidRPr="005A1527">
        <w:t xml:space="preserve">. </w:t>
      </w:r>
      <w:r w:rsidR="00B406B8">
        <w:t xml:space="preserve"> </w:t>
      </w:r>
      <w:r w:rsidRPr="005A1527">
        <w:t>The minimum proportion of added filler</w:t>
      </w:r>
      <w:r w:rsidR="00C437FC" w:rsidRPr="005A1527">
        <w:t xml:space="preserve"> shall be 6% for </w:t>
      </w:r>
      <w:r w:rsidRPr="005A1527">
        <w:t>S</w:t>
      </w:r>
      <w:r w:rsidR="00C437FC" w:rsidRPr="005A1527">
        <w:t>MAH</w:t>
      </w:r>
      <w:r w:rsidRPr="005A1527">
        <w:t>.</w:t>
      </w:r>
    </w:p>
    <w:p w14:paraId="7AEB94EB" w14:textId="77777777" w:rsidR="00156148" w:rsidRDefault="00156148" w:rsidP="00541431">
      <w:pPr>
        <w:tabs>
          <w:tab w:val="left" w:pos="454"/>
        </w:tabs>
        <w:spacing w:before="120"/>
        <w:ind w:left="454" w:hanging="454"/>
      </w:pPr>
      <w:r>
        <w:t>(d)</w:t>
      </w:r>
      <w:r>
        <w:tab/>
      </w:r>
      <w:r w:rsidR="006D13AC" w:rsidRPr="006D13AC">
        <w:t>The Marshall cylinder test properties (50 blows each face at the temperature outlined in AS/NZS</w:t>
      </w:r>
      <w:r w:rsidR="00F4381F">
        <w:t> </w:t>
      </w:r>
      <w:r w:rsidR="006D13AC" w:rsidRPr="006D13AC">
        <w:t>2891.5 using the specified production binder) shall meet the requirements in Table 404.063.</w:t>
      </w:r>
    </w:p>
    <w:p w14:paraId="3ABD05D7" w14:textId="77777777" w:rsidR="00F4381F" w:rsidRDefault="00F4381F" w:rsidP="00541431">
      <w:pPr>
        <w:tabs>
          <w:tab w:val="left" w:pos="454"/>
        </w:tabs>
        <w:spacing w:before="120"/>
        <w:ind w:left="454" w:hanging="454"/>
      </w:pPr>
      <w:r w:rsidRPr="00F4381F">
        <w:t>(e)</w:t>
      </w:r>
      <w:r w:rsidRPr="00F4381F">
        <w:tab/>
        <w:t>The Asphalt Binder Drain off test shall be performed at the design binder content and shall not exceed 0.3% of the total mass of the sample at the maximum nominated production temperature.</w:t>
      </w:r>
    </w:p>
    <w:p w14:paraId="0095D65C" w14:textId="77777777" w:rsidR="00156148" w:rsidRPr="004F41F3" w:rsidRDefault="00156148" w:rsidP="00541431">
      <w:pPr>
        <w:tabs>
          <w:tab w:val="left" w:pos="454"/>
        </w:tabs>
        <w:spacing w:before="100" w:after="20"/>
        <w:rPr>
          <w:b/>
        </w:rPr>
      </w:pPr>
      <w:r w:rsidRPr="004F41F3">
        <w:rPr>
          <w:b/>
        </w:rPr>
        <w:tab/>
        <w:t>Table 404.063  Marshall Properties</w:t>
      </w:r>
      <w:r w:rsidR="00F4381F">
        <w:rPr>
          <w:b/>
        </w:rPr>
        <w:t>, Air Voids</w:t>
      </w:r>
      <w:r w:rsidRPr="004F41F3">
        <w:rPr>
          <w:b/>
        </w:rPr>
        <w:t xml:space="preserve"> and Voids in Mineral Aggregate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91" w:type="dxa"/>
          <w:left w:w="85" w:type="dxa"/>
          <w:bottom w:w="28" w:type="dxa"/>
          <w:right w:w="85" w:type="dxa"/>
        </w:tblCellMar>
        <w:tblLook w:val="0000" w:firstRow="0" w:lastRow="0" w:firstColumn="0" w:lastColumn="0" w:noHBand="0" w:noVBand="0"/>
      </w:tblPr>
      <w:tblGrid>
        <w:gridCol w:w="1224"/>
        <w:gridCol w:w="1271"/>
        <w:gridCol w:w="1276"/>
        <w:gridCol w:w="1276"/>
        <w:gridCol w:w="1559"/>
      </w:tblGrid>
      <w:tr w:rsidR="00156148" w:rsidRPr="008871D8" w14:paraId="49CA11A0" w14:textId="77777777" w:rsidTr="00541431">
        <w:trPr>
          <w:cantSplit/>
          <w:trHeight w:val="493"/>
          <w:jc w:val="center"/>
        </w:trPr>
        <w:tc>
          <w:tcPr>
            <w:tcW w:w="1224" w:type="dxa"/>
            <w:vMerge w:val="restart"/>
            <w:tcBorders>
              <w:top w:val="single" w:sz="12" w:space="0" w:color="auto"/>
              <w:left w:val="single" w:sz="12" w:space="0" w:color="auto"/>
            </w:tcBorders>
            <w:tcMar>
              <w:top w:w="57" w:type="dxa"/>
            </w:tcMar>
            <w:vAlign w:val="center"/>
          </w:tcPr>
          <w:p w14:paraId="0F4D4551" w14:textId="77777777" w:rsidR="00156148" w:rsidRPr="008871D8" w:rsidRDefault="00156148" w:rsidP="00A37B04">
            <w:pPr>
              <w:jc w:val="center"/>
              <w:rPr>
                <w:b/>
              </w:rPr>
            </w:pPr>
            <w:r w:rsidRPr="008871D8">
              <w:rPr>
                <w:b/>
              </w:rPr>
              <w:t>Mix Size</w:t>
            </w:r>
          </w:p>
          <w:p w14:paraId="2268E941" w14:textId="77777777" w:rsidR="00156148" w:rsidRPr="008871D8" w:rsidRDefault="00156148" w:rsidP="00A37B04">
            <w:pPr>
              <w:jc w:val="center"/>
              <w:rPr>
                <w:b/>
              </w:rPr>
            </w:pPr>
            <w:r w:rsidRPr="008871D8">
              <w:rPr>
                <w:b/>
              </w:rPr>
              <w:t>(mm)</w:t>
            </w:r>
          </w:p>
        </w:tc>
        <w:tc>
          <w:tcPr>
            <w:tcW w:w="1271" w:type="dxa"/>
            <w:vMerge w:val="restart"/>
            <w:tcBorders>
              <w:top w:val="single" w:sz="12" w:space="0" w:color="auto"/>
            </w:tcBorders>
            <w:tcMar>
              <w:top w:w="57" w:type="dxa"/>
            </w:tcMar>
            <w:vAlign w:val="center"/>
          </w:tcPr>
          <w:p w14:paraId="2DC923C4" w14:textId="77777777" w:rsidR="00156148" w:rsidRPr="008871D8" w:rsidRDefault="00156148" w:rsidP="00A37B04">
            <w:pPr>
              <w:jc w:val="center"/>
              <w:rPr>
                <w:b/>
              </w:rPr>
            </w:pPr>
            <w:r w:rsidRPr="008871D8">
              <w:rPr>
                <w:b/>
              </w:rPr>
              <w:t>Stability</w:t>
            </w:r>
          </w:p>
          <w:p w14:paraId="186DDA6E" w14:textId="77777777" w:rsidR="00156148" w:rsidRPr="008871D8" w:rsidRDefault="00156148" w:rsidP="00A37B04">
            <w:pPr>
              <w:jc w:val="center"/>
              <w:rPr>
                <w:b/>
              </w:rPr>
            </w:pPr>
            <w:r w:rsidRPr="008871D8">
              <w:rPr>
                <w:b/>
              </w:rPr>
              <w:t>(kN)</w:t>
            </w:r>
          </w:p>
          <w:p w14:paraId="49615CFA" w14:textId="77777777" w:rsidR="00156148" w:rsidRPr="008871D8" w:rsidRDefault="00156148" w:rsidP="00A37B04">
            <w:pPr>
              <w:jc w:val="center"/>
              <w:rPr>
                <w:b/>
              </w:rPr>
            </w:pPr>
            <w:r w:rsidRPr="008871D8">
              <w:rPr>
                <w:b/>
              </w:rPr>
              <w:t>Minimum</w:t>
            </w:r>
          </w:p>
        </w:tc>
        <w:tc>
          <w:tcPr>
            <w:tcW w:w="2552" w:type="dxa"/>
            <w:gridSpan w:val="2"/>
            <w:tcBorders>
              <w:top w:val="single" w:sz="12" w:space="0" w:color="auto"/>
            </w:tcBorders>
            <w:tcMar>
              <w:top w:w="57" w:type="dxa"/>
            </w:tcMar>
            <w:vAlign w:val="center"/>
          </w:tcPr>
          <w:p w14:paraId="3738CF0E" w14:textId="77777777" w:rsidR="00156148" w:rsidRPr="008871D8" w:rsidRDefault="00156148" w:rsidP="00A37B04">
            <w:pPr>
              <w:jc w:val="center"/>
              <w:rPr>
                <w:b/>
              </w:rPr>
            </w:pPr>
            <w:r w:rsidRPr="008871D8">
              <w:rPr>
                <w:b/>
              </w:rPr>
              <w:t>Air Voids  (%)</w:t>
            </w:r>
          </w:p>
        </w:tc>
        <w:tc>
          <w:tcPr>
            <w:tcW w:w="1559" w:type="dxa"/>
            <w:vMerge w:val="restart"/>
            <w:tcBorders>
              <w:top w:val="single" w:sz="12" w:space="0" w:color="auto"/>
              <w:right w:val="single" w:sz="12" w:space="0" w:color="auto"/>
            </w:tcBorders>
            <w:tcMar>
              <w:top w:w="57" w:type="dxa"/>
            </w:tcMar>
            <w:vAlign w:val="center"/>
          </w:tcPr>
          <w:p w14:paraId="196C215B" w14:textId="77777777" w:rsidR="00156148" w:rsidRPr="008871D8" w:rsidRDefault="00156148" w:rsidP="00A37B04">
            <w:pPr>
              <w:jc w:val="center"/>
              <w:rPr>
                <w:b/>
              </w:rPr>
            </w:pPr>
            <w:r w:rsidRPr="008871D8">
              <w:rPr>
                <w:b/>
              </w:rPr>
              <w:t>Voids in Mineral Aggregates</w:t>
            </w:r>
          </w:p>
          <w:p w14:paraId="64486EA8" w14:textId="77777777" w:rsidR="00156148" w:rsidRPr="008871D8" w:rsidRDefault="00156148" w:rsidP="00A37B04">
            <w:pPr>
              <w:jc w:val="center"/>
              <w:rPr>
                <w:b/>
              </w:rPr>
            </w:pPr>
            <w:r w:rsidRPr="008871D8">
              <w:rPr>
                <w:b/>
              </w:rPr>
              <w:t>Minimum</w:t>
            </w:r>
          </w:p>
        </w:tc>
      </w:tr>
      <w:tr w:rsidR="00156148" w:rsidRPr="008871D8" w14:paraId="3F50D4CF" w14:textId="77777777" w:rsidTr="00541431">
        <w:trPr>
          <w:cantSplit/>
          <w:jc w:val="center"/>
        </w:trPr>
        <w:tc>
          <w:tcPr>
            <w:tcW w:w="1224" w:type="dxa"/>
            <w:vMerge/>
            <w:tcBorders>
              <w:left w:val="single" w:sz="12" w:space="0" w:color="auto"/>
              <w:bottom w:val="single" w:sz="12" w:space="0" w:color="auto"/>
            </w:tcBorders>
            <w:tcMar>
              <w:top w:w="57" w:type="dxa"/>
            </w:tcMar>
            <w:vAlign w:val="center"/>
          </w:tcPr>
          <w:p w14:paraId="681304DC" w14:textId="77777777" w:rsidR="00156148" w:rsidRPr="008871D8" w:rsidRDefault="00156148" w:rsidP="00A37B04">
            <w:pPr>
              <w:jc w:val="center"/>
              <w:rPr>
                <w:b/>
              </w:rPr>
            </w:pPr>
          </w:p>
        </w:tc>
        <w:tc>
          <w:tcPr>
            <w:tcW w:w="1271" w:type="dxa"/>
            <w:vMerge/>
            <w:tcBorders>
              <w:bottom w:val="single" w:sz="12" w:space="0" w:color="auto"/>
            </w:tcBorders>
            <w:tcMar>
              <w:top w:w="57" w:type="dxa"/>
            </w:tcMar>
            <w:vAlign w:val="center"/>
          </w:tcPr>
          <w:p w14:paraId="3CAE4EAE" w14:textId="77777777" w:rsidR="00156148" w:rsidRPr="008871D8" w:rsidRDefault="00156148" w:rsidP="00A37B04">
            <w:pPr>
              <w:jc w:val="center"/>
              <w:rPr>
                <w:b/>
              </w:rPr>
            </w:pPr>
          </w:p>
        </w:tc>
        <w:tc>
          <w:tcPr>
            <w:tcW w:w="1276" w:type="dxa"/>
            <w:tcBorders>
              <w:bottom w:val="single" w:sz="12" w:space="0" w:color="auto"/>
            </w:tcBorders>
            <w:tcMar>
              <w:top w:w="57" w:type="dxa"/>
            </w:tcMar>
            <w:vAlign w:val="center"/>
          </w:tcPr>
          <w:p w14:paraId="060D2C20" w14:textId="77777777" w:rsidR="00156148" w:rsidRPr="008871D8" w:rsidRDefault="00156148" w:rsidP="00A37B04">
            <w:pPr>
              <w:jc w:val="center"/>
              <w:rPr>
                <w:b/>
              </w:rPr>
            </w:pPr>
            <w:r w:rsidRPr="008871D8">
              <w:rPr>
                <w:b/>
              </w:rPr>
              <w:t>Minimum</w:t>
            </w:r>
          </w:p>
        </w:tc>
        <w:tc>
          <w:tcPr>
            <w:tcW w:w="1276" w:type="dxa"/>
            <w:tcBorders>
              <w:bottom w:val="single" w:sz="12" w:space="0" w:color="auto"/>
            </w:tcBorders>
            <w:tcMar>
              <w:top w:w="57" w:type="dxa"/>
            </w:tcMar>
            <w:vAlign w:val="center"/>
          </w:tcPr>
          <w:p w14:paraId="426282F8" w14:textId="77777777" w:rsidR="00156148" w:rsidRPr="008871D8" w:rsidRDefault="00156148" w:rsidP="00A37B04">
            <w:pPr>
              <w:jc w:val="center"/>
              <w:rPr>
                <w:b/>
              </w:rPr>
            </w:pPr>
            <w:r w:rsidRPr="008871D8">
              <w:rPr>
                <w:b/>
              </w:rPr>
              <w:t>Maximum</w:t>
            </w:r>
          </w:p>
        </w:tc>
        <w:tc>
          <w:tcPr>
            <w:tcW w:w="1559" w:type="dxa"/>
            <w:vMerge/>
            <w:tcBorders>
              <w:bottom w:val="single" w:sz="12" w:space="0" w:color="auto"/>
              <w:right w:val="single" w:sz="12" w:space="0" w:color="auto"/>
            </w:tcBorders>
            <w:tcMar>
              <w:top w:w="57" w:type="dxa"/>
            </w:tcMar>
            <w:vAlign w:val="center"/>
          </w:tcPr>
          <w:p w14:paraId="58473889" w14:textId="77777777" w:rsidR="00156148" w:rsidRPr="008871D8" w:rsidRDefault="00156148" w:rsidP="00A37B04">
            <w:pPr>
              <w:jc w:val="center"/>
              <w:rPr>
                <w:b/>
              </w:rPr>
            </w:pPr>
          </w:p>
        </w:tc>
      </w:tr>
      <w:tr w:rsidR="00156148" w14:paraId="35FC608C" w14:textId="77777777" w:rsidTr="00DE2835">
        <w:trPr>
          <w:cantSplit/>
          <w:jc w:val="center"/>
        </w:trPr>
        <w:tc>
          <w:tcPr>
            <w:tcW w:w="1224" w:type="dxa"/>
            <w:tcBorders>
              <w:top w:val="single" w:sz="12" w:space="0" w:color="auto"/>
              <w:left w:val="single" w:sz="12" w:space="0" w:color="auto"/>
            </w:tcBorders>
          </w:tcPr>
          <w:p w14:paraId="1B00D867" w14:textId="77777777" w:rsidR="00156148" w:rsidRPr="00FA28AC" w:rsidRDefault="00156148" w:rsidP="00A37B04">
            <w:pPr>
              <w:jc w:val="center"/>
            </w:pPr>
            <w:r w:rsidRPr="00FA28AC">
              <w:t>SMA</w:t>
            </w:r>
            <w:r w:rsidR="00F4381F">
              <w:t>10</w:t>
            </w:r>
            <w:r w:rsidRPr="00FA28AC">
              <w:t>N</w:t>
            </w:r>
          </w:p>
        </w:tc>
        <w:tc>
          <w:tcPr>
            <w:tcW w:w="1271" w:type="dxa"/>
            <w:tcBorders>
              <w:top w:val="single" w:sz="12" w:space="0" w:color="auto"/>
            </w:tcBorders>
            <w:vAlign w:val="center"/>
          </w:tcPr>
          <w:p w14:paraId="0A7A9AAC" w14:textId="77777777" w:rsidR="00156148" w:rsidRPr="00FA28AC" w:rsidRDefault="00156148" w:rsidP="00DE2835">
            <w:pPr>
              <w:jc w:val="center"/>
            </w:pPr>
            <w:r w:rsidRPr="00FA28AC">
              <w:t>5.5</w:t>
            </w:r>
          </w:p>
        </w:tc>
        <w:tc>
          <w:tcPr>
            <w:tcW w:w="1276" w:type="dxa"/>
            <w:tcBorders>
              <w:top w:val="single" w:sz="12" w:space="0" w:color="auto"/>
            </w:tcBorders>
            <w:vAlign w:val="center"/>
          </w:tcPr>
          <w:p w14:paraId="1C8C7541" w14:textId="77777777" w:rsidR="00156148" w:rsidRPr="00FA28AC" w:rsidRDefault="00156148" w:rsidP="00DE2835">
            <w:pPr>
              <w:jc w:val="center"/>
            </w:pPr>
            <w:r w:rsidRPr="00FA28AC">
              <w:t>3.5</w:t>
            </w:r>
          </w:p>
        </w:tc>
        <w:tc>
          <w:tcPr>
            <w:tcW w:w="1276" w:type="dxa"/>
            <w:tcBorders>
              <w:top w:val="single" w:sz="12" w:space="0" w:color="auto"/>
            </w:tcBorders>
            <w:vAlign w:val="center"/>
          </w:tcPr>
          <w:p w14:paraId="537AFE00" w14:textId="77777777" w:rsidR="00156148" w:rsidRPr="00FA28AC" w:rsidRDefault="00156148" w:rsidP="00DE2835">
            <w:pPr>
              <w:jc w:val="center"/>
            </w:pPr>
            <w:r w:rsidRPr="00FA28AC">
              <w:t>5.0</w:t>
            </w:r>
          </w:p>
        </w:tc>
        <w:tc>
          <w:tcPr>
            <w:tcW w:w="1559" w:type="dxa"/>
            <w:tcBorders>
              <w:top w:val="single" w:sz="12" w:space="0" w:color="auto"/>
              <w:right w:val="single" w:sz="12" w:space="0" w:color="auto"/>
            </w:tcBorders>
            <w:vAlign w:val="center"/>
          </w:tcPr>
          <w:p w14:paraId="306F3977" w14:textId="77777777" w:rsidR="00156148" w:rsidRPr="00FA28AC" w:rsidRDefault="00156148" w:rsidP="00DE2835">
            <w:pPr>
              <w:jc w:val="center"/>
            </w:pPr>
            <w:r w:rsidRPr="00FA28AC">
              <w:t>18</w:t>
            </w:r>
          </w:p>
        </w:tc>
      </w:tr>
      <w:tr w:rsidR="00F4381F" w14:paraId="3F5226BF" w14:textId="77777777" w:rsidTr="00DE2835">
        <w:trPr>
          <w:cantSplit/>
          <w:jc w:val="center"/>
        </w:trPr>
        <w:tc>
          <w:tcPr>
            <w:tcW w:w="1224" w:type="dxa"/>
            <w:tcBorders>
              <w:top w:val="single" w:sz="8" w:space="0" w:color="auto"/>
              <w:left w:val="single" w:sz="12" w:space="0" w:color="auto"/>
            </w:tcBorders>
          </w:tcPr>
          <w:p w14:paraId="2E10BE4A" w14:textId="77777777" w:rsidR="00F4381F" w:rsidRPr="00FA28AC" w:rsidRDefault="00F4381F" w:rsidP="00A37B04">
            <w:pPr>
              <w:jc w:val="center"/>
            </w:pPr>
            <w:r w:rsidRPr="00FA28AC">
              <w:t>SMA</w:t>
            </w:r>
            <w:r>
              <w:t>10H</w:t>
            </w:r>
          </w:p>
        </w:tc>
        <w:tc>
          <w:tcPr>
            <w:tcW w:w="1271" w:type="dxa"/>
            <w:tcBorders>
              <w:top w:val="single" w:sz="8" w:space="0" w:color="auto"/>
            </w:tcBorders>
            <w:vAlign w:val="center"/>
          </w:tcPr>
          <w:p w14:paraId="5360F825" w14:textId="77777777" w:rsidR="00F4381F" w:rsidRPr="00FA28AC" w:rsidRDefault="00F4381F" w:rsidP="00DE2835">
            <w:pPr>
              <w:jc w:val="center"/>
            </w:pPr>
            <w:r>
              <w:t>5.5</w:t>
            </w:r>
          </w:p>
        </w:tc>
        <w:tc>
          <w:tcPr>
            <w:tcW w:w="1276" w:type="dxa"/>
            <w:tcBorders>
              <w:top w:val="single" w:sz="8" w:space="0" w:color="auto"/>
            </w:tcBorders>
            <w:vAlign w:val="center"/>
          </w:tcPr>
          <w:p w14:paraId="4A1C866C" w14:textId="77777777" w:rsidR="00F4381F" w:rsidRPr="00FA28AC" w:rsidRDefault="00F4381F" w:rsidP="00DE2835">
            <w:pPr>
              <w:jc w:val="center"/>
            </w:pPr>
            <w:r>
              <w:t>4.8</w:t>
            </w:r>
          </w:p>
        </w:tc>
        <w:tc>
          <w:tcPr>
            <w:tcW w:w="1276" w:type="dxa"/>
            <w:tcBorders>
              <w:top w:val="single" w:sz="8" w:space="0" w:color="auto"/>
            </w:tcBorders>
            <w:vAlign w:val="center"/>
          </w:tcPr>
          <w:p w14:paraId="435DB50D" w14:textId="77777777" w:rsidR="00F4381F" w:rsidRPr="00FA28AC" w:rsidRDefault="00F4381F" w:rsidP="00DE2835">
            <w:pPr>
              <w:jc w:val="center"/>
            </w:pPr>
            <w:r>
              <w:t>5.2</w:t>
            </w:r>
          </w:p>
        </w:tc>
        <w:tc>
          <w:tcPr>
            <w:tcW w:w="1559" w:type="dxa"/>
            <w:tcBorders>
              <w:top w:val="single" w:sz="8" w:space="0" w:color="auto"/>
              <w:right w:val="single" w:sz="12" w:space="0" w:color="auto"/>
            </w:tcBorders>
            <w:vAlign w:val="center"/>
          </w:tcPr>
          <w:p w14:paraId="7CF78910" w14:textId="77777777" w:rsidR="00F4381F" w:rsidRPr="00FA28AC" w:rsidRDefault="00F4381F" w:rsidP="00DE2835">
            <w:pPr>
              <w:jc w:val="center"/>
            </w:pPr>
            <w:r>
              <w:t>18</w:t>
            </w:r>
          </w:p>
        </w:tc>
      </w:tr>
      <w:tr w:rsidR="00156148" w14:paraId="4C9FF06E" w14:textId="77777777" w:rsidTr="00DE2835">
        <w:trPr>
          <w:cantSplit/>
          <w:jc w:val="center"/>
        </w:trPr>
        <w:tc>
          <w:tcPr>
            <w:tcW w:w="1224" w:type="dxa"/>
            <w:tcBorders>
              <w:left w:val="single" w:sz="12" w:space="0" w:color="auto"/>
              <w:bottom w:val="single" w:sz="12" w:space="0" w:color="auto"/>
            </w:tcBorders>
          </w:tcPr>
          <w:p w14:paraId="4DA531A5" w14:textId="77777777" w:rsidR="00156148" w:rsidRDefault="00156148" w:rsidP="00A37B04">
            <w:pPr>
              <w:jc w:val="center"/>
            </w:pPr>
            <w:r w:rsidRPr="00FA28AC">
              <w:t>SMA</w:t>
            </w:r>
            <w:r w:rsidR="00F4381F">
              <w:t>7N</w:t>
            </w:r>
          </w:p>
          <w:p w14:paraId="556E72FD" w14:textId="77777777" w:rsidR="00F4381F" w:rsidRPr="00FA28AC" w:rsidRDefault="00F4381F" w:rsidP="00A37B04">
            <w:pPr>
              <w:jc w:val="center"/>
            </w:pPr>
            <w:r>
              <w:t>SMA7H</w:t>
            </w:r>
          </w:p>
        </w:tc>
        <w:tc>
          <w:tcPr>
            <w:tcW w:w="1271" w:type="dxa"/>
            <w:tcBorders>
              <w:bottom w:val="single" w:sz="12" w:space="0" w:color="auto"/>
            </w:tcBorders>
            <w:vAlign w:val="center"/>
          </w:tcPr>
          <w:p w14:paraId="093E2AE8" w14:textId="77777777" w:rsidR="00156148" w:rsidRPr="00FA28AC" w:rsidRDefault="00156148" w:rsidP="00DE2835">
            <w:pPr>
              <w:jc w:val="center"/>
            </w:pPr>
            <w:r w:rsidRPr="00FA28AC">
              <w:t>5.5</w:t>
            </w:r>
          </w:p>
        </w:tc>
        <w:tc>
          <w:tcPr>
            <w:tcW w:w="1276" w:type="dxa"/>
            <w:tcBorders>
              <w:bottom w:val="single" w:sz="12" w:space="0" w:color="auto"/>
            </w:tcBorders>
            <w:vAlign w:val="center"/>
          </w:tcPr>
          <w:p w14:paraId="3100B556" w14:textId="77777777" w:rsidR="00156148" w:rsidRPr="00FA28AC" w:rsidRDefault="00F4381F" w:rsidP="00DE2835">
            <w:pPr>
              <w:jc w:val="center"/>
            </w:pPr>
            <w:r>
              <w:t>2.5</w:t>
            </w:r>
          </w:p>
        </w:tc>
        <w:tc>
          <w:tcPr>
            <w:tcW w:w="1276" w:type="dxa"/>
            <w:tcBorders>
              <w:bottom w:val="single" w:sz="12" w:space="0" w:color="auto"/>
            </w:tcBorders>
            <w:vAlign w:val="center"/>
          </w:tcPr>
          <w:p w14:paraId="033980C8" w14:textId="77777777" w:rsidR="00156148" w:rsidRPr="00FA28AC" w:rsidRDefault="00F4381F" w:rsidP="00DE2835">
            <w:pPr>
              <w:jc w:val="center"/>
            </w:pPr>
            <w:r>
              <w:t>5.0</w:t>
            </w:r>
          </w:p>
        </w:tc>
        <w:tc>
          <w:tcPr>
            <w:tcW w:w="1559" w:type="dxa"/>
            <w:tcBorders>
              <w:bottom w:val="single" w:sz="12" w:space="0" w:color="auto"/>
              <w:right w:val="single" w:sz="12" w:space="0" w:color="auto"/>
            </w:tcBorders>
            <w:vAlign w:val="center"/>
          </w:tcPr>
          <w:p w14:paraId="500E38A5" w14:textId="77777777" w:rsidR="00156148" w:rsidRPr="00FA28AC" w:rsidRDefault="00F4381F" w:rsidP="00DE2835">
            <w:pPr>
              <w:jc w:val="center"/>
            </w:pPr>
            <w:r>
              <w:t>19</w:t>
            </w:r>
          </w:p>
        </w:tc>
      </w:tr>
    </w:tbl>
    <w:p w14:paraId="2ED77850" w14:textId="77777777" w:rsidR="004C3DD4" w:rsidRDefault="004C3DD4" w:rsidP="004C3DD4">
      <w:pPr>
        <w:spacing w:line="320" w:lineRule="exact"/>
      </w:pPr>
    </w:p>
    <w:p w14:paraId="1B2F726D" w14:textId="77777777" w:rsidR="00EE3CDF" w:rsidRDefault="00721133" w:rsidP="002464D3">
      <w:pPr>
        <w:spacing w:line="80" w:lineRule="exact"/>
      </w:pPr>
      <w:r>
        <w:rPr>
          <w:noProof/>
          <w:lang w:eastAsia="en-AU"/>
        </w:rPr>
        <w:pict w14:anchorId="4944ACBD">
          <v:shape id="_x0000_s1035" type="#_x0000_t202" style="position:absolute;margin-left:0;margin-top:779.65pt;width:481.9pt;height:36.85pt;z-index:-251659264;mso-wrap-distance-top:5.65pt;mso-position-horizontal:center;mso-position-horizontal-relative:page;mso-position-vertical-relative:page" stroked="f">
            <v:textbox style="mso-next-textbox:#_x0000_s1035" inset="0,,0">
              <w:txbxContent>
                <w:p w14:paraId="13E2760D" w14:textId="77777777" w:rsidR="00B058D6" w:rsidRDefault="00B058D6" w:rsidP="001B55CA">
                  <w:pPr>
                    <w:pBdr>
                      <w:top w:val="single" w:sz="6" w:space="1" w:color="000000"/>
                    </w:pBdr>
                    <w:spacing w:line="60" w:lineRule="exact"/>
                    <w:jc w:val="right"/>
                    <w:rPr>
                      <w:b/>
                    </w:rPr>
                  </w:pPr>
                </w:p>
                <w:p w14:paraId="71D78CD0" w14:textId="352830EE" w:rsidR="00B058D6" w:rsidRDefault="00B058D6" w:rsidP="001B55CA">
                  <w:pPr>
                    <w:pBdr>
                      <w:top w:val="single" w:sz="6" w:space="1" w:color="000000"/>
                    </w:pBdr>
                    <w:jc w:val="right"/>
                  </w:pPr>
                  <w:r>
                    <w:rPr>
                      <w:b/>
                    </w:rPr>
                    <w:t>©</w:t>
                  </w:r>
                  <w:r>
                    <w:t xml:space="preserve"> </w:t>
                  </w:r>
                  <w:r w:rsidR="00721133">
                    <w:t>Department of Transport</w:t>
                  </w:r>
                  <w:r>
                    <w:t xml:space="preserve">  </w:t>
                  </w:r>
                  <w:r w:rsidR="00E56973">
                    <w:t>August 2018</w:t>
                  </w:r>
                </w:p>
                <w:p w14:paraId="7541FB53" w14:textId="77777777" w:rsidR="00B058D6" w:rsidRDefault="00B058D6" w:rsidP="001B55CA">
                  <w:pPr>
                    <w:jc w:val="right"/>
                  </w:pPr>
                  <w:r>
                    <w:t>Section 404 (Page 2 of 4)</w:t>
                  </w:r>
                </w:p>
                <w:p w14:paraId="7F53916A" w14:textId="77777777" w:rsidR="00B058D6" w:rsidRDefault="00B058D6" w:rsidP="001B55CA">
                  <w:pPr>
                    <w:jc w:val="right"/>
                  </w:pPr>
                </w:p>
              </w:txbxContent>
            </v:textbox>
            <w10:wrap anchorx="page" anchory="page"/>
            <w10:anchorlock/>
          </v:shape>
        </w:pict>
      </w:r>
      <w:r w:rsidR="00DB06A7">
        <w:br w:type="page"/>
      </w:r>
    </w:p>
    <w:p w14:paraId="06457F84" w14:textId="77777777" w:rsidR="002F570E" w:rsidRDefault="002F570E" w:rsidP="005B1798">
      <w:pPr>
        <w:pStyle w:val="Heading3SS"/>
      </w:pPr>
      <w:r>
        <w:t>404.07</w:t>
      </w:r>
      <w:r>
        <w:tab/>
        <w:t>STORAGE OF CELLULOSE FIBRE AT THE MIXING PLANT</w:t>
      </w:r>
    </w:p>
    <w:p w14:paraId="33399C1B" w14:textId="77777777" w:rsidR="002F570E" w:rsidRPr="004B30D6" w:rsidRDefault="002F570E" w:rsidP="004B687C">
      <w:pPr>
        <w:spacing w:before="200"/>
      </w:pPr>
      <w:r w:rsidRPr="004B30D6">
        <w:t>Packaged cellulose fibre products shall not be stored in the open or exposed to direct sunlight unless protected by a waterproof UV resistant covering</w:t>
      </w:r>
      <w:r w:rsidR="009A6385" w:rsidRPr="004B30D6">
        <w:t>. A</w:t>
      </w:r>
      <w:r w:rsidRPr="004B30D6">
        <w:t>ny product that has become wet shall not be used.</w:t>
      </w:r>
    </w:p>
    <w:p w14:paraId="442697A4" w14:textId="77777777" w:rsidR="002F570E" w:rsidRPr="004B30D6" w:rsidRDefault="002F570E" w:rsidP="004B687C">
      <w:pPr>
        <w:spacing w:line="200" w:lineRule="exact"/>
      </w:pPr>
    </w:p>
    <w:p w14:paraId="179454A2" w14:textId="77777777" w:rsidR="002F570E" w:rsidRDefault="002F570E" w:rsidP="004B687C">
      <w:pPr>
        <w:spacing w:line="200" w:lineRule="exact"/>
      </w:pPr>
    </w:p>
    <w:p w14:paraId="307F8D77" w14:textId="77777777" w:rsidR="002F570E" w:rsidRDefault="002F570E" w:rsidP="005B1798">
      <w:pPr>
        <w:pStyle w:val="Heading3SS"/>
      </w:pPr>
      <w:r>
        <w:t>404.08</w:t>
      </w:r>
      <w:r>
        <w:tab/>
        <w:t>MIXING PLANT</w:t>
      </w:r>
    </w:p>
    <w:p w14:paraId="2862D411" w14:textId="77777777" w:rsidR="00ED3922" w:rsidRPr="00AC72DE" w:rsidRDefault="00ED3922" w:rsidP="004B687C">
      <w:pPr>
        <w:spacing w:before="200"/>
      </w:pPr>
      <w:r w:rsidRPr="00AC72DE">
        <w:t>Batch pug mill type mixing plant may be used to produce SMA.</w:t>
      </w:r>
      <w:r>
        <w:t xml:space="preserve"> </w:t>
      </w:r>
      <w:r w:rsidRPr="00AC72DE">
        <w:t xml:space="preserve"> Pressed packs of cellulose fibre shall only be used in batch mixing plants.</w:t>
      </w:r>
    </w:p>
    <w:p w14:paraId="726E4EBD" w14:textId="77777777" w:rsidR="00ED3922" w:rsidRPr="00864D4F" w:rsidRDefault="00ED3922" w:rsidP="004B687C">
      <w:pPr>
        <w:spacing w:before="200"/>
      </w:pPr>
      <w:r w:rsidRPr="00AC72DE">
        <w:t xml:space="preserve">The Superintendent may allow drum type mixing plants to produce SMA where the drum plant </w:t>
      </w:r>
      <w:r w:rsidR="00EB20A6">
        <w:t xml:space="preserve">can incorporate </w:t>
      </w:r>
      <w:r w:rsidRPr="00AC72DE">
        <w:t>the filler and fibre in a dedicated mixing chamber remote from the burner and the flow of exhaust gases from the plant.</w:t>
      </w:r>
      <w:r>
        <w:t xml:space="preserve"> </w:t>
      </w:r>
      <w:r w:rsidRPr="00AC72DE">
        <w:t xml:space="preserve"> </w:t>
      </w:r>
      <w:r w:rsidRPr="00864D4F">
        <w:t>The Contractor shall provide information to show the asphalt plant is able to produce a well-mixed and uniform SMA that can be successfully placed and produces a material comparable to SMA from batch plants.</w:t>
      </w:r>
    </w:p>
    <w:p w14:paraId="0CCF9C34" w14:textId="77777777" w:rsidR="00ED3922" w:rsidRPr="004B687C" w:rsidRDefault="00ED3922" w:rsidP="004B687C">
      <w:pPr>
        <w:spacing w:before="200"/>
      </w:pPr>
      <w:r w:rsidRPr="00864D4F">
        <w:t>Where any mixing plant has not yet proven its ability to produce conforming and consistent SMA, the Superintendent may require a trial of about 50 tonnes to assess the SMA.</w:t>
      </w:r>
    </w:p>
    <w:p w14:paraId="13A82DF7" w14:textId="77777777" w:rsidR="004B687C" w:rsidRPr="004B30D6" w:rsidRDefault="004B687C" w:rsidP="004B687C">
      <w:pPr>
        <w:spacing w:line="200" w:lineRule="exact"/>
      </w:pPr>
    </w:p>
    <w:p w14:paraId="35F8239D" w14:textId="77777777" w:rsidR="004B687C" w:rsidRDefault="004B687C" w:rsidP="004B687C">
      <w:pPr>
        <w:spacing w:line="200" w:lineRule="exact"/>
      </w:pPr>
    </w:p>
    <w:p w14:paraId="0B7B116F" w14:textId="77777777" w:rsidR="002F570E" w:rsidRDefault="002F570E" w:rsidP="005B1798">
      <w:pPr>
        <w:pStyle w:val="Heading3SS"/>
      </w:pPr>
      <w:r>
        <w:t>404.09</w:t>
      </w:r>
      <w:r>
        <w:tab/>
        <w:t>MIXING SEQUENCE</w:t>
      </w:r>
    </w:p>
    <w:p w14:paraId="0B58892C" w14:textId="77777777" w:rsidR="002F570E" w:rsidRDefault="002F570E" w:rsidP="004B30D6"/>
    <w:p w14:paraId="5E931926" w14:textId="77777777" w:rsidR="009E3D43" w:rsidRPr="009E3D43" w:rsidRDefault="009E3D43" w:rsidP="004B30D6">
      <w:pPr>
        <w:rPr>
          <w:b/>
        </w:rPr>
      </w:pPr>
      <w:r w:rsidRPr="009E3D43">
        <w:rPr>
          <w:b/>
        </w:rPr>
        <w:t>Batch Mixing Plants</w:t>
      </w:r>
    </w:p>
    <w:p w14:paraId="4C38C189" w14:textId="77777777" w:rsidR="00EB20A6" w:rsidRPr="00EB20A6" w:rsidRDefault="00EB20A6" w:rsidP="00EB20A6">
      <w:pPr>
        <w:spacing w:before="160"/>
      </w:pPr>
      <w:r w:rsidRPr="00EB20A6">
        <w:t xml:space="preserve">Unopened cellulose fibre press packs shall be added to the mixer during the metered addition of the hot aggregates. </w:t>
      </w:r>
      <w:r>
        <w:t xml:space="preserve"> </w:t>
      </w:r>
      <w:r w:rsidRPr="00EB20A6">
        <w:t xml:space="preserve">Dry mixing shall continue for a maximum of 15 seconds after the last Cellulose Fibre press pack has been added. </w:t>
      </w:r>
      <w:r>
        <w:t xml:space="preserve"> </w:t>
      </w:r>
      <w:r w:rsidRPr="00EB20A6">
        <w:t>Cellulose fibre press packs shall not be added to the mixer be</w:t>
      </w:r>
      <w:r>
        <w:t>fore the aggregates are added.</w:t>
      </w:r>
    </w:p>
    <w:p w14:paraId="386592D7" w14:textId="77777777" w:rsidR="002F570E" w:rsidRDefault="002F570E" w:rsidP="00F7466F">
      <w:pPr>
        <w:spacing w:before="160"/>
      </w:pPr>
      <w:r>
        <w:t>Binder shall be added after completion of the dry mixing as specified and mixing shall continue for a minimum of 20 seconds or longer period required to ensure that coarse aggregate particles are fully coated with bitumen and the Cellulose fibres are distributed homogeneously through the mix.</w:t>
      </w:r>
    </w:p>
    <w:p w14:paraId="2BBF156D" w14:textId="77777777" w:rsidR="002F570E" w:rsidRDefault="002F570E" w:rsidP="004B30D6"/>
    <w:p w14:paraId="5CA5CFD6" w14:textId="77777777" w:rsidR="00D93F1B" w:rsidRPr="009E3D43" w:rsidRDefault="00D93F1B" w:rsidP="00D93F1B">
      <w:pPr>
        <w:rPr>
          <w:b/>
        </w:rPr>
      </w:pPr>
      <w:r>
        <w:rPr>
          <w:b/>
        </w:rPr>
        <w:t>Drum</w:t>
      </w:r>
      <w:r w:rsidRPr="009E3D43">
        <w:rPr>
          <w:b/>
        </w:rPr>
        <w:t xml:space="preserve"> Mixing Plants</w:t>
      </w:r>
    </w:p>
    <w:p w14:paraId="60232B64" w14:textId="77777777" w:rsidR="00384DDE" w:rsidRDefault="00384DDE" w:rsidP="00384DDE">
      <w:pPr>
        <w:spacing w:before="160"/>
      </w:pPr>
      <w:r w:rsidRPr="00AC72DE">
        <w:t>The mixing sequence shall be determined by the Contractor</w:t>
      </w:r>
      <w:r>
        <w:t xml:space="preserve"> and in accordance with fibre manufacturer’s recommendations.</w:t>
      </w:r>
    </w:p>
    <w:p w14:paraId="404495B0" w14:textId="77777777" w:rsidR="004B687C" w:rsidRPr="004B30D6" w:rsidRDefault="004B687C" w:rsidP="004B687C">
      <w:pPr>
        <w:spacing w:line="200" w:lineRule="exact"/>
      </w:pPr>
    </w:p>
    <w:p w14:paraId="222F4C2B" w14:textId="77777777" w:rsidR="004B687C" w:rsidRDefault="004B687C" w:rsidP="004B687C">
      <w:pPr>
        <w:spacing w:line="200" w:lineRule="exact"/>
      </w:pPr>
    </w:p>
    <w:p w14:paraId="0B89CF30" w14:textId="77777777" w:rsidR="00DC4F93" w:rsidRDefault="00DC4F93" w:rsidP="00DC4F93">
      <w:pPr>
        <w:pStyle w:val="Heading3SS"/>
      </w:pPr>
      <w:r>
        <w:t>404.10</w:t>
      </w:r>
      <w:r>
        <w:tab/>
        <w:t>MIXING AND MIXING TEMPERATURES</w:t>
      </w:r>
    </w:p>
    <w:p w14:paraId="40DE1571" w14:textId="77777777" w:rsidR="00DC4F93" w:rsidRDefault="0058154D" w:rsidP="00DC4F93">
      <w:pPr>
        <w:spacing w:before="200"/>
      </w:pPr>
      <w:r w:rsidRPr="0058154D">
        <w:t>The temperature of aggregates before mixing shall not exceed 190</w:t>
      </w:r>
      <w:r w:rsidRPr="0058154D">
        <w:sym w:font="Symbol" w:char="F0B0"/>
      </w:r>
      <w:r w:rsidRPr="0058154D">
        <w:t xml:space="preserve">C. </w:t>
      </w:r>
      <w:r>
        <w:t xml:space="preserve"> </w:t>
      </w:r>
      <w:r w:rsidRPr="0058154D">
        <w:t>The temperature of asphalt at discharge from the mixing plant shall not exceed</w:t>
      </w:r>
      <w:r>
        <w:t> </w:t>
      </w:r>
      <w:r w:rsidRPr="0058154D">
        <w:t>175</w:t>
      </w:r>
      <w:r w:rsidRPr="0058154D">
        <w:sym w:font="Symbol" w:char="F0B0"/>
      </w:r>
      <w:r w:rsidRPr="0058154D">
        <w:t>C</w:t>
      </w:r>
      <w:r>
        <w:t>.</w:t>
      </w:r>
    </w:p>
    <w:p w14:paraId="22E961F3" w14:textId="77777777" w:rsidR="004B687C" w:rsidRPr="004B30D6" w:rsidRDefault="004B687C" w:rsidP="004B687C">
      <w:pPr>
        <w:spacing w:line="200" w:lineRule="exact"/>
      </w:pPr>
    </w:p>
    <w:p w14:paraId="6E5F6F35" w14:textId="77777777" w:rsidR="004B687C" w:rsidRDefault="004B687C" w:rsidP="004B687C">
      <w:pPr>
        <w:spacing w:line="200" w:lineRule="exact"/>
      </w:pPr>
    </w:p>
    <w:p w14:paraId="5E3A2C7A" w14:textId="77777777" w:rsidR="00CD5BCB" w:rsidRDefault="00CD5BCB" w:rsidP="00CD5BCB">
      <w:pPr>
        <w:pStyle w:val="Heading3SS"/>
      </w:pPr>
      <w:r>
        <w:t>404.11</w:t>
      </w:r>
      <w:r>
        <w:tab/>
      </w:r>
      <w:r w:rsidRPr="00FA28AC">
        <w:t>FREQUENCY OF INSPECTION AND TESTING AT THE MIXING PLANT</w:t>
      </w:r>
    </w:p>
    <w:p w14:paraId="78C937A2" w14:textId="77777777" w:rsidR="00CD5BCB" w:rsidRPr="00FA28AC" w:rsidRDefault="00CD5BCB" w:rsidP="00344F77">
      <w:pPr>
        <w:spacing w:before="200"/>
      </w:pPr>
      <w:r w:rsidRPr="00FA28AC">
        <w:t>The production tolerances on the grading aim of the mix before compaction shall be as specified for Size 10</w:t>
      </w:r>
      <w:r>
        <w:t> </w:t>
      </w:r>
      <w:r w:rsidRPr="00FA28AC">
        <w:t>mm in Table</w:t>
      </w:r>
      <w:r>
        <w:t> </w:t>
      </w:r>
      <w:r w:rsidRPr="00FA28AC">
        <w:t>407.071.</w:t>
      </w:r>
      <w:r>
        <w:t xml:space="preserve">  </w:t>
      </w:r>
      <w:r w:rsidRPr="00FA28AC">
        <w:t xml:space="preserve">Notwithstanding the requirements of </w:t>
      </w:r>
      <w:r w:rsidR="00E27B21">
        <w:t>clause</w:t>
      </w:r>
      <w:r w:rsidRPr="00FA28AC">
        <w:t xml:space="preserve"> 407.1</w:t>
      </w:r>
      <w:r w:rsidR="000A3803">
        <w:t>1</w:t>
      </w:r>
      <w:r w:rsidRPr="00FA28AC">
        <w:t>, a reduced frequency is not permitted</w:t>
      </w:r>
      <w:r>
        <w:t>.</w:t>
      </w:r>
    </w:p>
    <w:p w14:paraId="5A683098" w14:textId="77777777" w:rsidR="002464D3" w:rsidRPr="007F43F6" w:rsidRDefault="002464D3" w:rsidP="004B687C">
      <w:pPr>
        <w:spacing w:before="200"/>
      </w:pPr>
      <w:r w:rsidRPr="007F43F6">
        <w:t xml:space="preserve">Further to Table 407.111 the minimum frequency for </w:t>
      </w:r>
      <w:r w:rsidRPr="00864D4F">
        <w:t>Binder Content and Full Sieve Analysis of Asphalt (full extraction test) shall be one test per 150 tonnes or part thereof of the asphalt plant production on a representative sample taken from a delivery truck.  The Binder Content and Full Sieve Analysis of Asphalt and fibre content results shall be provided to the Superintendent.</w:t>
      </w:r>
    </w:p>
    <w:p w14:paraId="6A1D230A" w14:textId="77777777" w:rsidR="004B687C" w:rsidRPr="004B30D6" w:rsidRDefault="004B687C" w:rsidP="004B687C">
      <w:pPr>
        <w:spacing w:line="200" w:lineRule="exact"/>
      </w:pPr>
    </w:p>
    <w:p w14:paraId="7AD61F14" w14:textId="77777777" w:rsidR="004B687C" w:rsidRDefault="004B687C" w:rsidP="004B687C">
      <w:pPr>
        <w:spacing w:line="200" w:lineRule="exact"/>
      </w:pPr>
    </w:p>
    <w:p w14:paraId="03734A6A" w14:textId="77777777" w:rsidR="002464D3" w:rsidRDefault="002464D3" w:rsidP="002464D3">
      <w:pPr>
        <w:pStyle w:val="Heading3SS"/>
      </w:pPr>
      <w:r w:rsidRPr="00FA28AC">
        <w:t>404.1</w:t>
      </w:r>
      <w:r>
        <w:t>2</w:t>
      </w:r>
      <w:r w:rsidRPr="00FA28AC">
        <w:tab/>
        <w:t>CONDITIONS F</w:t>
      </w:r>
      <w:r>
        <w:t>OR PLACING STONE MASTIC ASPHALT</w:t>
      </w:r>
    </w:p>
    <w:p w14:paraId="78FA79A1" w14:textId="77777777" w:rsidR="002464D3" w:rsidRDefault="002464D3" w:rsidP="004B687C">
      <w:pPr>
        <w:spacing w:before="200"/>
        <w:rPr>
          <w:bCs/>
        </w:rPr>
      </w:pPr>
      <w:r w:rsidRPr="00FA28AC">
        <w:rPr>
          <w:bCs/>
        </w:rPr>
        <w:t>The Contractor should note SMA may be adversely affected by traffic during hot weather, and within 48 hours of placement. It is the Contractor’s responsibility to ensure SMA is placed at such times that hot weather and traffic shall not affect the SMA by reducing the texture of the surface, or cause rutting of the surface.</w:t>
      </w:r>
      <w:r>
        <w:rPr>
          <w:bCs/>
        </w:rPr>
        <w:t xml:space="preserve"> </w:t>
      </w:r>
      <w:r w:rsidRPr="00FA28AC">
        <w:rPr>
          <w:bCs/>
        </w:rPr>
        <w:t xml:space="preserve"> Detouring traffic shall not be used a method of managing risk of damage to the new surface.</w:t>
      </w:r>
    </w:p>
    <w:p w14:paraId="3C190D60" w14:textId="77777777" w:rsidR="002F570E" w:rsidRPr="00B77819" w:rsidRDefault="00721133" w:rsidP="00B77819">
      <w:r>
        <w:pict w14:anchorId="6AA3BB14">
          <v:shape id="_x0000_s1036" type="#_x0000_t202" style="position:absolute;margin-left:0;margin-top:779.65pt;width:481.9pt;height:36.85pt;z-index:-251658240;mso-wrap-distance-top:5.65pt;mso-position-horizontal:center;mso-position-horizontal-relative:page;mso-position-vertical-relative:page" stroked="f">
            <v:textbox style="mso-next-textbox:#_x0000_s1036" inset="0,,0">
              <w:txbxContent>
                <w:p w14:paraId="17E1CA9C" w14:textId="77777777" w:rsidR="00B058D6" w:rsidRDefault="00B058D6" w:rsidP="001B55CA">
                  <w:pPr>
                    <w:pBdr>
                      <w:top w:val="single" w:sz="6" w:space="1" w:color="000000"/>
                    </w:pBdr>
                    <w:spacing w:line="60" w:lineRule="exact"/>
                    <w:jc w:val="right"/>
                    <w:rPr>
                      <w:b/>
                    </w:rPr>
                  </w:pPr>
                </w:p>
                <w:p w14:paraId="4C26746D" w14:textId="500565D6" w:rsidR="00B058D6" w:rsidRDefault="00B058D6" w:rsidP="001B55CA">
                  <w:pPr>
                    <w:pBdr>
                      <w:top w:val="single" w:sz="6" w:space="1" w:color="000000"/>
                    </w:pBdr>
                    <w:jc w:val="right"/>
                  </w:pPr>
                  <w:r>
                    <w:rPr>
                      <w:b/>
                    </w:rPr>
                    <w:t>©</w:t>
                  </w:r>
                  <w:r>
                    <w:t xml:space="preserve"> </w:t>
                  </w:r>
                  <w:r w:rsidR="00721133">
                    <w:t>Department of Transport</w:t>
                  </w:r>
                  <w:r>
                    <w:t xml:space="preserve">  </w:t>
                  </w:r>
                  <w:r w:rsidR="00E56973">
                    <w:t>August 2018</w:t>
                  </w:r>
                </w:p>
                <w:p w14:paraId="7A4D4473" w14:textId="77777777" w:rsidR="00B058D6" w:rsidRDefault="00B058D6" w:rsidP="001B55CA">
                  <w:pPr>
                    <w:jc w:val="right"/>
                  </w:pPr>
                  <w:r>
                    <w:t>Section 404 (Page 3 of 4)</w:t>
                  </w:r>
                </w:p>
                <w:p w14:paraId="0147DB3B" w14:textId="77777777" w:rsidR="00B058D6" w:rsidRDefault="00B058D6" w:rsidP="001B55CA">
                  <w:pPr>
                    <w:jc w:val="right"/>
                  </w:pPr>
                </w:p>
              </w:txbxContent>
            </v:textbox>
            <w10:wrap anchorx="page" anchory="page"/>
            <w10:anchorlock/>
          </v:shape>
        </w:pict>
      </w:r>
      <w:r w:rsidR="004B30D6" w:rsidRPr="007F43F6">
        <w:br w:type="page"/>
      </w:r>
    </w:p>
    <w:p w14:paraId="2822E754" w14:textId="77777777" w:rsidR="002F570E" w:rsidRPr="00864D4F" w:rsidRDefault="00FE2FD9" w:rsidP="005B1798">
      <w:pPr>
        <w:pStyle w:val="Heading3SS"/>
      </w:pPr>
      <w:r>
        <w:t>404.13</w:t>
      </w:r>
      <w:r w:rsidR="002F570E" w:rsidRPr="00FA28AC">
        <w:tab/>
        <w:t>COMMENCEMENT OF PLACING</w:t>
      </w:r>
    </w:p>
    <w:p w14:paraId="5E1157FB" w14:textId="77777777" w:rsidR="002F570E" w:rsidRDefault="002F570E" w:rsidP="00D108D0">
      <w:pPr>
        <w:tabs>
          <w:tab w:val="left" w:pos="0"/>
        </w:tabs>
        <w:spacing w:before="160"/>
        <w:ind w:hanging="567"/>
        <w:rPr>
          <w:b/>
          <w:bCs/>
          <w:spacing w:val="-6"/>
        </w:rPr>
      </w:pPr>
      <w:r w:rsidRPr="00FA28AC">
        <w:rPr>
          <w:b/>
          <w:bCs/>
        </w:rPr>
        <w:t>HP</w:t>
      </w:r>
      <w:r w:rsidRPr="00FA28AC">
        <w:rPr>
          <w:b/>
          <w:bCs/>
        </w:rPr>
        <w:tab/>
      </w:r>
      <w:r w:rsidRPr="00FA28AC">
        <w:rPr>
          <w:b/>
          <w:bCs/>
          <w:spacing w:val="-6"/>
        </w:rPr>
        <w:t xml:space="preserve">The placement of SMA </w:t>
      </w:r>
      <w:r w:rsidRPr="00FA28AC">
        <w:rPr>
          <w:b/>
          <w:bCs/>
        </w:rPr>
        <w:t xml:space="preserve">shall not commence until </w:t>
      </w:r>
      <w:r w:rsidR="00CB65DD">
        <w:rPr>
          <w:b/>
          <w:bCs/>
        </w:rPr>
        <w:t>approval</w:t>
      </w:r>
      <w:r w:rsidRPr="00FA28AC">
        <w:rPr>
          <w:b/>
          <w:bCs/>
        </w:rPr>
        <w:t xml:space="preserve"> is obtained from the Superintendent.</w:t>
      </w:r>
    </w:p>
    <w:p w14:paraId="5A69298C" w14:textId="77777777" w:rsidR="002F570E" w:rsidRPr="00B77819" w:rsidRDefault="002F570E" w:rsidP="00B77819"/>
    <w:p w14:paraId="0F6BD93F" w14:textId="77777777" w:rsidR="002F570E" w:rsidRPr="00B77819" w:rsidRDefault="002F570E" w:rsidP="00B77819"/>
    <w:p w14:paraId="377A0341" w14:textId="77777777" w:rsidR="002F570E" w:rsidRPr="00FA28AC" w:rsidRDefault="002F570E" w:rsidP="005B1798">
      <w:pPr>
        <w:pStyle w:val="Heading3SS"/>
      </w:pPr>
      <w:r w:rsidRPr="00FA28AC">
        <w:t>404.1</w:t>
      </w:r>
      <w:r w:rsidR="00445B5E">
        <w:t>4</w:t>
      </w:r>
      <w:r w:rsidRPr="00FA28AC">
        <w:tab/>
      </w:r>
      <w:r w:rsidR="00445B5E">
        <w:t xml:space="preserve">REQUIREMENTS FOR TESTING AND ACCEPTANCE OF </w:t>
      </w:r>
      <w:r w:rsidRPr="00FA28AC">
        <w:t>COMPACTION</w:t>
      </w:r>
    </w:p>
    <w:p w14:paraId="5EDBA562" w14:textId="77777777" w:rsidR="003405DE" w:rsidRDefault="003405DE" w:rsidP="00D108D0">
      <w:pPr>
        <w:spacing w:before="160"/>
      </w:pPr>
      <w:r w:rsidRPr="00FA28AC">
        <w:t xml:space="preserve">After placement, the SMA shall be immediately compacted to meet </w:t>
      </w:r>
      <w:r>
        <w:t>the</w:t>
      </w:r>
      <w:r w:rsidRPr="00FA28AC">
        <w:t xml:space="preserve"> requirements </w:t>
      </w:r>
      <w:r w:rsidRPr="003A73DB">
        <w:t xml:space="preserve">for testing and acceptance of compaction as detailed in </w:t>
      </w:r>
      <w:r w:rsidR="00E27B21">
        <w:t>clause</w:t>
      </w:r>
      <w:r>
        <w:t> </w:t>
      </w:r>
      <w:r w:rsidRPr="003A73DB">
        <w:t>407.21, except</w:t>
      </w:r>
      <w:r>
        <w:t>:</w:t>
      </w:r>
    </w:p>
    <w:p w14:paraId="2B649976" w14:textId="77777777" w:rsidR="003405DE" w:rsidRDefault="003405DE" w:rsidP="005066D0">
      <w:pPr>
        <w:tabs>
          <w:tab w:val="left" w:pos="227"/>
        </w:tabs>
        <w:spacing w:before="100"/>
        <w:ind w:left="227" w:hanging="227"/>
      </w:pPr>
      <w:r>
        <w:t>•</w:t>
      </w:r>
      <w:r>
        <w:tab/>
      </w:r>
      <w:r w:rsidRPr="003A73DB">
        <w:t>work shall be tested for compaction density on a lot basis regardless of the quantity of material placed</w:t>
      </w:r>
    </w:p>
    <w:p w14:paraId="4D601D2E" w14:textId="77777777" w:rsidR="003405DE" w:rsidRPr="003A73DB" w:rsidRDefault="003405DE" w:rsidP="005066D0">
      <w:pPr>
        <w:tabs>
          <w:tab w:val="left" w:pos="227"/>
        </w:tabs>
        <w:spacing w:before="80"/>
        <w:ind w:left="227" w:hanging="227"/>
      </w:pPr>
      <w:r>
        <w:t>•</w:t>
      </w:r>
      <w:r>
        <w:tab/>
      </w:r>
      <w:r w:rsidRPr="003405DE">
        <w:t>work represented by a lot of six tests shall be assessed as shown in Table 40</w:t>
      </w:r>
      <w:r w:rsidR="002B619B">
        <w:t>4.141</w:t>
      </w:r>
    </w:p>
    <w:p w14:paraId="7B4C5B54" w14:textId="77777777" w:rsidR="003405DE" w:rsidRPr="003A73DB" w:rsidRDefault="003405DE" w:rsidP="005066D0">
      <w:pPr>
        <w:tabs>
          <w:tab w:val="left" w:pos="227"/>
        </w:tabs>
        <w:spacing w:before="80"/>
        <w:ind w:left="227" w:hanging="227"/>
      </w:pPr>
      <w:r>
        <w:t>•</w:t>
      </w:r>
      <w:r>
        <w:tab/>
        <w:t>work represented by either four or five cores shall be assessed as shown in Table 404.142.</w:t>
      </w:r>
    </w:p>
    <w:p w14:paraId="3B589BC1" w14:textId="77777777" w:rsidR="00940436" w:rsidRPr="008B2792" w:rsidRDefault="00940436" w:rsidP="008F3F50">
      <w:pPr>
        <w:spacing w:before="200" w:after="40"/>
        <w:ind w:left="567"/>
        <w:rPr>
          <w:b/>
        </w:rPr>
      </w:pPr>
      <w:r w:rsidRPr="008B2792">
        <w:rPr>
          <w:b/>
        </w:rPr>
        <w:t>Table 404.141  Limits for Characteristic Density Ratio (Six Tests)</w:t>
      </w:r>
    </w:p>
    <w:tbl>
      <w:tblPr>
        <w:tblW w:w="0" w:type="auto"/>
        <w:jc w:val="center"/>
        <w:tblLayout w:type="fixed"/>
        <w:tblCellMar>
          <w:top w:w="85" w:type="dxa"/>
          <w:left w:w="102" w:type="dxa"/>
          <w:bottom w:w="28" w:type="dxa"/>
          <w:right w:w="102" w:type="dxa"/>
        </w:tblCellMar>
        <w:tblLook w:val="0000" w:firstRow="0" w:lastRow="0" w:firstColumn="0" w:lastColumn="0" w:noHBand="0" w:noVBand="0"/>
      </w:tblPr>
      <w:tblGrid>
        <w:gridCol w:w="2012"/>
        <w:gridCol w:w="6409"/>
      </w:tblGrid>
      <w:tr w:rsidR="00940436" w:rsidRPr="004F4E07" w14:paraId="52803EA0" w14:textId="77777777" w:rsidTr="008F3F50">
        <w:trPr>
          <w:cantSplit/>
          <w:jc w:val="center"/>
        </w:trPr>
        <w:tc>
          <w:tcPr>
            <w:tcW w:w="8421" w:type="dxa"/>
            <w:gridSpan w:val="2"/>
            <w:tcBorders>
              <w:top w:val="single" w:sz="12" w:space="0" w:color="auto"/>
              <w:left w:val="single" w:sz="12" w:space="0" w:color="auto"/>
              <w:bottom w:val="single" w:sz="8" w:space="0" w:color="auto"/>
              <w:right w:val="single" w:sz="12" w:space="0" w:color="auto"/>
            </w:tcBorders>
            <w:vAlign w:val="bottom"/>
          </w:tcPr>
          <w:p w14:paraId="515C06DD" w14:textId="77777777" w:rsidR="00940436" w:rsidRPr="004F4E07" w:rsidRDefault="00940436" w:rsidP="000B0C06">
            <w:pPr>
              <w:jc w:val="center"/>
              <w:rPr>
                <w:b/>
                <w:spacing w:val="-6"/>
                <w:szCs w:val="20"/>
              </w:rPr>
            </w:pPr>
            <w:r w:rsidRPr="004F4E07">
              <w:rPr>
                <w:b/>
                <w:spacing w:val="-6"/>
                <w:szCs w:val="20"/>
              </w:rPr>
              <w:t>For layers less than 50 mm thickness</w:t>
            </w:r>
          </w:p>
        </w:tc>
      </w:tr>
      <w:tr w:rsidR="00940436" w:rsidRPr="004F4E07" w14:paraId="55BD687C" w14:textId="77777777" w:rsidTr="008F3F50">
        <w:trPr>
          <w:cantSplit/>
          <w:jc w:val="center"/>
        </w:trPr>
        <w:tc>
          <w:tcPr>
            <w:tcW w:w="2012" w:type="dxa"/>
            <w:tcBorders>
              <w:top w:val="single" w:sz="8" w:space="0" w:color="auto"/>
              <w:left w:val="single" w:sz="12" w:space="0" w:color="auto"/>
              <w:bottom w:val="single" w:sz="12" w:space="0" w:color="auto"/>
              <w:right w:val="single" w:sz="8" w:space="0" w:color="auto"/>
            </w:tcBorders>
            <w:vAlign w:val="bottom"/>
          </w:tcPr>
          <w:p w14:paraId="1CEF6102" w14:textId="77777777" w:rsidR="00940436" w:rsidRPr="004F4E07" w:rsidRDefault="00940436" w:rsidP="000B0C06">
            <w:pPr>
              <w:jc w:val="center"/>
              <w:rPr>
                <w:b/>
                <w:spacing w:val="-6"/>
                <w:szCs w:val="20"/>
              </w:rPr>
            </w:pPr>
            <w:r w:rsidRPr="004F4E07">
              <w:rPr>
                <w:b/>
                <w:spacing w:val="-6"/>
                <w:szCs w:val="20"/>
              </w:rPr>
              <w:t>Characteristic Value of the Density Ratio</w:t>
            </w:r>
          </w:p>
          <w:p w14:paraId="26695E3F" w14:textId="77777777" w:rsidR="00940436" w:rsidRPr="004F4E07" w:rsidRDefault="00940436" w:rsidP="000B0C06">
            <w:pPr>
              <w:jc w:val="center"/>
              <w:rPr>
                <w:b/>
                <w:spacing w:val="-6"/>
                <w:szCs w:val="20"/>
              </w:rPr>
            </w:pPr>
            <w:r w:rsidRPr="004F4E07">
              <w:rPr>
                <w:b/>
                <w:spacing w:val="-6"/>
                <w:szCs w:val="20"/>
              </w:rPr>
              <w:t>(</w:t>
            </w:r>
            <w:proofErr w:type="spellStart"/>
            <w:r w:rsidRPr="004F4E07">
              <w:rPr>
                <w:b/>
                <w:spacing w:val="-6"/>
                <w:szCs w:val="20"/>
              </w:rPr>
              <w:t>Rc</w:t>
            </w:r>
            <w:proofErr w:type="spellEnd"/>
            <w:r w:rsidRPr="004F4E07">
              <w:rPr>
                <w:b/>
                <w:spacing w:val="-6"/>
                <w:szCs w:val="20"/>
              </w:rPr>
              <w:t>)</w:t>
            </w:r>
          </w:p>
        </w:tc>
        <w:tc>
          <w:tcPr>
            <w:tcW w:w="6409" w:type="dxa"/>
            <w:tcBorders>
              <w:top w:val="single" w:sz="8" w:space="0" w:color="auto"/>
              <w:left w:val="single" w:sz="8" w:space="0" w:color="auto"/>
              <w:bottom w:val="single" w:sz="12" w:space="0" w:color="auto"/>
              <w:right w:val="single" w:sz="12" w:space="0" w:color="auto"/>
            </w:tcBorders>
            <w:vAlign w:val="center"/>
          </w:tcPr>
          <w:p w14:paraId="33516C88" w14:textId="77777777" w:rsidR="00940436" w:rsidRPr="004F4E07" w:rsidRDefault="00940436" w:rsidP="000B0C06">
            <w:pPr>
              <w:jc w:val="center"/>
              <w:rPr>
                <w:b/>
                <w:spacing w:val="-6"/>
                <w:szCs w:val="20"/>
              </w:rPr>
            </w:pPr>
            <w:r w:rsidRPr="004F4E07">
              <w:rPr>
                <w:b/>
                <w:spacing w:val="-6"/>
                <w:szCs w:val="20"/>
              </w:rPr>
              <w:t>Assessment</w:t>
            </w:r>
          </w:p>
        </w:tc>
      </w:tr>
      <w:tr w:rsidR="00940436" w14:paraId="3B3D0FE3" w14:textId="77777777" w:rsidTr="008F3F50">
        <w:trPr>
          <w:cantSplit/>
          <w:jc w:val="center"/>
        </w:trPr>
        <w:tc>
          <w:tcPr>
            <w:tcW w:w="2012" w:type="dxa"/>
            <w:tcBorders>
              <w:top w:val="single" w:sz="12" w:space="0" w:color="auto"/>
              <w:left w:val="single" w:sz="12" w:space="0" w:color="auto"/>
              <w:bottom w:val="single" w:sz="6" w:space="0" w:color="FFFFFF"/>
              <w:right w:val="single" w:sz="8" w:space="0" w:color="auto"/>
            </w:tcBorders>
          </w:tcPr>
          <w:p w14:paraId="5E5E3709" w14:textId="77777777" w:rsidR="00940436" w:rsidRDefault="00940436" w:rsidP="00864D4F">
            <w:r>
              <w:t>96.0% or more</w:t>
            </w:r>
          </w:p>
        </w:tc>
        <w:tc>
          <w:tcPr>
            <w:tcW w:w="6409" w:type="dxa"/>
            <w:tcBorders>
              <w:top w:val="single" w:sz="12" w:space="0" w:color="auto"/>
              <w:left w:val="single" w:sz="8" w:space="0" w:color="auto"/>
              <w:bottom w:val="single" w:sz="6" w:space="0" w:color="FFFFFF"/>
              <w:right w:val="single" w:sz="12" w:space="0" w:color="auto"/>
            </w:tcBorders>
          </w:tcPr>
          <w:p w14:paraId="5F7233E0" w14:textId="77777777" w:rsidR="00940436" w:rsidRDefault="00940436" w:rsidP="00864D4F">
            <w:r>
              <w:t>Accept lot</w:t>
            </w:r>
          </w:p>
        </w:tc>
      </w:tr>
      <w:tr w:rsidR="00940436" w14:paraId="6CF9FEF8" w14:textId="77777777" w:rsidTr="008F3F50">
        <w:trPr>
          <w:cantSplit/>
          <w:jc w:val="center"/>
        </w:trPr>
        <w:tc>
          <w:tcPr>
            <w:tcW w:w="2012" w:type="dxa"/>
            <w:tcBorders>
              <w:top w:val="single" w:sz="6" w:space="0" w:color="FFFFFF"/>
              <w:left w:val="single" w:sz="12" w:space="0" w:color="auto"/>
              <w:bottom w:val="single" w:sz="12" w:space="0" w:color="auto"/>
              <w:right w:val="single" w:sz="8" w:space="0" w:color="auto"/>
            </w:tcBorders>
          </w:tcPr>
          <w:p w14:paraId="30974671" w14:textId="77777777" w:rsidR="00940436" w:rsidRDefault="00940436" w:rsidP="00864D4F">
            <w:r>
              <w:t>93.0% to 95.9%</w:t>
            </w:r>
          </w:p>
        </w:tc>
        <w:tc>
          <w:tcPr>
            <w:tcW w:w="6409" w:type="dxa"/>
            <w:tcBorders>
              <w:top w:val="single" w:sz="6" w:space="0" w:color="FFFFFF"/>
              <w:left w:val="single" w:sz="8" w:space="0" w:color="auto"/>
              <w:bottom w:val="single" w:sz="12" w:space="0" w:color="auto"/>
              <w:right w:val="single" w:sz="12" w:space="0" w:color="auto"/>
            </w:tcBorders>
          </w:tcPr>
          <w:p w14:paraId="367621C3" w14:textId="77777777" w:rsidR="00940436" w:rsidRDefault="00940436" w:rsidP="00864D4F">
            <w:smartTag w:uri="urn:schemas-microsoft-com:office:smarttags" w:element="place">
              <w:r>
                <w:t>Lot</w:t>
              </w:r>
            </w:smartTag>
            <w:r>
              <w:t xml:space="preserve"> may be accepted at a reduced rate calculated by P = 10 </w:t>
            </w:r>
            <w:proofErr w:type="spellStart"/>
            <w:r>
              <w:t>Rc</w:t>
            </w:r>
            <w:proofErr w:type="spellEnd"/>
            <w:r>
              <w:t xml:space="preserve"> - 860</w:t>
            </w:r>
          </w:p>
        </w:tc>
      </w:tr>
    </w:tbl>
    <w:p w14:paraId="4DB754B9" w14:textId="77777777" w:rsidR="00940436" w:rsidRPr="008B2792" w:rsidRDefault="00940436" w:rsidP="008F3F50">
      <w:pPr>
        <w:spacing w:before="320" w:after="40"/>
        <w:ind w:left="567"/>
        <w:rPr>
          <w:b/>
        </w:rPr>
      </w:pPr>
      <w:r w:rsidRPr="008B2792">
        <w:rPr>
          <w:b/>
        </w:rPr>
        <w:t>Table 404.142  Mean Density Ratio (less than six cores)</w:t>
      </w:r>
    </w:p>
    <w:tbl>
      <w:tblPr>
        <w:tblW w:w="0" w:type="auto"/>
        <w:jc w:val="center"/>
        <w:tblLayout w:type="fixed"/>
        <w:tblCellMar>
          <w:top w:w="85" w:type="dxa"/>
          <w:left w:w="102" w:type="dxa"/>
          <w:bottom w:w="28" w:type="dxa"/>
          <w:right w:w="102" w:type="dxa"/>
        </w:tblCellMar>
        <w:tblLook w:val="0000" w:firstRow="0" w:lastRow="0" w:firstColumn="0" w:lastColumn="0" w:noHBand="0" w:noVBand="0"/>
      </w:tblPr>
      <w:tblGrid>
        <w:gridCol w:w="2093"/>
        <w:gridCol w:w="6379"/>
      </w:tblGrid>
      <w:tr w:rsidR="00940436" w:rsidRPr="00AD1114" w14:paraId="08427CA8" w14:textId="77777777" w:rsidTr="008F3F50">
        <w:trPr>
          <w:cantSplit/>
          <w:jc w:val="center"/>
        </w:trPr>
        <w:tc>
          <w:tcPr>
            <w:tcW w:w="8472" w:type="dxa"/>
            <w:gridSpan w:val="2"/>
            <w:tcBorders>
              <w:top w:val="single" w:sz="12" w:space="0" w:color="auto"/>
              <w:left w:val="single" w:sz="12" w:space="0" w:color="auto"/>
              <w:bottom w:val="single" w:sz="8" w:space="0" w:color="auto"/>
              <w:right w:val="single" w:sz="12" w:space="0" w:color="auto"/>
            </w:tcBorders>
            <w:vAlign w:val="bottom"/>
          </w:tcPr>
          <w:p w14:paraId="0D3A14F4" w14:textId="77777777" w:rsidR="00940436" w:rsidRPr="00AD1114" w:rsidRDefault="00940436" w:rsidP="00A37B04">
            <w:pPr>
              <w:jc w:val="center"/>
              <w:rPr>
                <w:b/>
                <w:spacing w:val="-6"/>
                <w:szCs w:val="20"/>
              </w:rPr>
            </w:pPr>
            <w:r w:rsidRPr="00AD1114">
              <w:rPr>
                <w:b/>
                <w:spacing w:val="-6"/>
                <w:szCs w:val="20"/>
              </w:rPr>
              <w:t>For layers less than 50 mm thickness</w:t>
            </w:r>
          </w:p>
        </w:tc>
      </w:tr>
      <w:tr w:rsidR="00940436" w:rsidRPr="00AD1114" w14:paraId="1008C9BD" w14:textId="77777777" w:rsidTr="008F3F50">
        <w:trPr>
          <w:cantSplit/>
          <w:jc w:val="center"/>
        </w:trPr>
        <w:tc>
          <w:tcPr>
            <w:tcW w:w="2093" w:type="dxa"/>
            <w:tcBorders>
              <w:top w:val="single" w:sz="8" w:space="0" w:color="auto"/>
              <w:left w:val="single" w:sz="12" w:space="0" w:color="auto"/>
              <w:bottom w:val="single" w:sz="12" w:space="0" w:color="auto"/>
              <w:right w:val="single" w:sz="8" w:space="0" w:color="auto"/>
            </w:tcBorders>
            <w:vAlign w:val="bottom"/>
          </w:tcPr>
          <w:p w14:paraId="79B4EC5B" w14:textId="77777777" w:rsidR="00940436" w:rsidRPr="00AD1114" w:rsidRDefault="00940436" w:rsidP="00A37B04">
            <w:pPr>
              <w:jc w:val="center"/>
              <w:rPr>
                <w:b/>
                <w:spacing w:val="-6"/>
                <w:szCs w:val="20"/>
              </w:rPr>
            </w:pPr>
            <w:r w:rsidRPr="00AD1114">
              <w:rPr>
                <w:b/>
                <w:spacing w:val="-6"/>
                <w:szCs w:val="20"/>
              </w:rPr>
              <w:t>Mean Value of the Density Ratio</w:t>
            </w:r>
          </w:p>
          <w:p w14:paraId="2CDC4929" w14:textId="77777777" w:rsidR="00940436" w:rsidRPr="00AD1114" w:rsidRDefault="00940436" w:rsidP="00A37B04">
            <w:pPr>
              <w:jc w:val="center"/>
              <w:rPr>
                <w:b/>
                <w:spacing w:val="-6"/>
                <w:szCs w:val="20"/>
              </w:rPr>
            </w:pPr>
            <w:r w:rsidRPr="00AD1114">
              <w:rPr>
                <w:b/>
                <w:spacing w:val="-6"/>
                <w:szCs w:val="20"/>
              </w:rPr>
              <w:t>(Rm)</w:t>
            </w:r>
          </w:p>
        </w:tc>
        <w:tc>
          <w:tcPr>
            <w:tcW w:w="6379" w:type="dxa"/>
            <w:tcBorders>
              <w:top w:val="single" w:sz="8" w:space="0" w:color="auto"/>
              <w:left w:val="single" w:sz="8" w:space="0" w:color="auto"/>
              <w:bottom w:val="single" w:sz="12" w:space="0" w:color="auto"/>
              <w:right w:val="single" w:sz="12" w:space="0" w:color="auto"/>
            </w:tcBorders>
            <w:vAlign w:val="center"/>
          </w:tcPr>
          <w:p w14:paraId="19EF652A" w14:textId="77777777" w:rsidR="00940436" w:rsidRPr="00AD1114" w:rsidRDefault="00940436" w:rsidP="00A37B04">
            <w:pPr>
              <w:jc w:val="center"/>
              <w:rPr>
                <w:b/>
                <w:spacing w:val="-6"/>
                <w:szCs w:val="20"/>
              </w:rPr>
            </w:pPr>
            <w:r w:rsidRPr="00AD1114">
              <w:rPr>
                <w:b/>
                <w:spacing w:val="-6"/>
                <w:szCs w:val="20"/>
              </w:rPr>
              <w:t>Assessment</w:t>
            </w:r>
          </w:p>
        </w:tc>
      </w:tr>
      <w:tr w:rsidR="00940436" w14:paraId="100840A3" w14:textId="77777777" w:rsidTr="008F3F50">
        <w:trPr>
          <w:cantSplit/>
          <w:jc w:val="center"/>
        </w:trPr>
        <w:tc>
          <w:tcPr>
            <w:tcW w:w="2093" w:type="dxa"/>
            <w:tcBorders>
              <w:top w:val="single" w:sz="12" w:space="0" w:color="auto"/>
              <w:left w:val="single" w:sz="12" w:space="0" w:color="auto"/>
              <w:bottom w:val="single" w:sz="6" w:space="0" w:color="FFFFFF"/>
              <w:right w:val="single" w:sz="8" w:space="0" w:color="auto"/>
            </w:tcBorders>
          </w:tcPr>
          <w:p w14:paraId="3C300418" w14:textId="77777777" w:rsidR="00940436" w:rsidRDefault="00940436" w:rsidP="00864D4F">
            <w:r>
              <w:t>97.5% or more</w:t>
            </w:r>
          </w:p>
        </w:tc>
        <w:tc>
          <w:tcPr>
            <w:tcW w:w="6379" w:type="dxa"/>
            <w:tcBorders>
              <w:top w:val="single" w:sz="12" w:space="0" w:color="auto"/>
              <w:left w:val="single" w:sz="8" w:space="0" w:color="auto"/>
              <w:bottom w:val="single" w:sz="6" w:space="0" w:color="FFFFFF"/>
              <w:right w:val="single" w:sz="12" w:space="0" w:color="auto"/>
            </w:tcBorders>
          </w:tcPr>
          <w:p w14:paraId="1919DB8C" w14:textId="77777777" w:rsidR="00940436" w:rsidRDefault="00940436" w:rsidP="00864D4F">
            <w:r>
              <w:t>Accept lot</w:t>
            </w:r>
          </w:p>
        </w:tc>
      </w:tr>
      <w:tr w:rsidR="00940436" w14:paraId="3D416734" w14:textId="77777777" w:rsidTr="008F3F50">
        <w:trPr>
          <w:cantSplit/>
          <w:jc w:val="center"/>
        </w:trPr>
        <w:tc>
          <w:tcPr>
            <w:tcW w:w="2093" w:type="dxa"/>
            <w:tcBorders>
              <w:top w:val="single" w:sz="6" w:space="0" w:color="FFFFFF"/>
              <w:left w:val="single" w:sz="12" w:space="0" w:color="auto"/>
              <w:bottom w:val="single" w:sz="12" w:space="0" w:color="auto"/>
              <w:right w:val="single" w:sz="8" w:space="0" w:color="auto"/>
            </w:tcBorders>
          </w:tcPr>
          <w:p w14:paraId="27A4583A" w14:textId="77777777" w:rsidR="00940436" w:rsidRDefault="00940436" w:rsidP="00864D4F">
            <w:r>
              <w:t>94.5% to 97.4%</w:t>
            </w:r>
          </w:p>
        </w:tc>
        <w:tc>
          <w:tcPr>
            <w:tcW w:w="6379" w:type="dxa"/>
            <w:tcBorders>
              <w:top w:val="single" w:sz="6" w:space="0" w:color="FFFFFF"/>
              <w:left w:val="single" w:sz="8" w:space="0" w:color="auto"/>
              <w:bottom w:val="single" w:sz="12" w:space="0" w:color="auto"/>
              <w:right w:val="single" w:sz="12" w:space="0" w:color="auto"/>
            </w:tcBorders>
          </w:tcPr>
          <w:p w14:paraId="66D96696" w14:textId="77777777" w:rsidR="00940436" w:rsidRDefault="00940436" w:rsidP="00864D4F">
            <w:smartTag w:uri="urn:schemas-microsoft-com:office:smarttags" w:element="place">
              <w:r>
                <w:t>Lot</w:t>
              </w:r>
            </w:smartTag>
            <w:r>
              <w:t xml:space="preserve"> may be accepted at a reduced rate calculated by P = 10 Rm - 875</w:t>
            </w:r>
          </w:p>
        </w:tc>
      </w:tr>
    </w:tbl>
    <w:p w14:paraId="11210026" w14:textId="77777777" w:rsidR="00940436" w:rsidRDefault="00940436" w:rsidP="008F3F50">
      <w:pPr>
        <w:spacing w:before="240"/>
      </w:pPr>
      <w:r w:rsidRPr="00B65B2F">
        <w:t>Vibratory rollers may be used for a maximum of two passes only</w:t>
      </w:r>
      <w:r w:rsidRPr="00FA28AC">
        <w:t xml:space="preserve">. </w:t>
      </w:r>
      <w:r>
        <w:t xml:space="preserve"> </w:t>
      </w:r>
      <w:r w:rsidRPr="00864D4F">
        <w:rPr>
          <w:szCs w:val="20"/>
          <w:lang w:eastAsia="en-AU"/>
        </w:rPr>
        <w:t xml:space="preserve">Use of vibration shall be discontinued immediately if any breakdown of surface aggregate occurs. </w:t>
      </w:r>
      <w:r w:rsidR="00864D4F" w:rsidRPr="00864D4F">
        <w:rPr>
          <w:szCs w:val="20"/>
          <w:lang w:eastAsia="en-AU"/>
        </w:rPr>
        <w:t xml:space="preserve"> </w:t>
      </w:r>
      <w:r>
        <w:t>Pneumatic tyred rollers shall not be used.</w:t>
      </w:r>
    </w:p>
    <w:p w14:paraId="3A0F6582" w14:textId="77777777" w:rsidR="002F570E" w:rsidRDefault="002F570E" w:rsidP="00315ADF">
      <w:pPr>
        <w:tabs>
          <w:tab w:val="left" w:pos="0"/>
        </w:tabs>
        <w:spacing w:before="200"/>
        <w:ind w:hanging="567"/>
        <w:rPr>
          <w:b/>
        </w:rPr>
      </w:pPr>
      <w:r w:rsidRPr="00FA28AC">
        <w:rPr>
          <w:b/>
        </w:rPr>
        <w:t>HP</w:t>
      </w:r>
      <w:r w:rsidRPr="00FA28AC">
        <w:rPr>
          <w:b/>
        </w:rPr>
        <w:tab/>
        <w:t xml:space="preserve">The Contractor shall not place traffic on the SMA until the Superintendent has agreed the temperature of the asphalt is less than </w:t>
      </w:r>
      <w:r w:rsidRPr="00FA28AC">
        <w:rPr>
          <w:b/>
          <w:bCs/>
        </w:rPr>
        <w:t>40</w:t>
      </w:r>
      <w:r w:rsidRPr="00FA28AC">
        <w:rPr>
          <w:b/>
          <w:bCs/>
        </w:rPr>
        <w:sym w:font="Symbol" w:char="F0B0"/>
      </w:r>
      <w:r w:rsidRPr="00FA28AC">
        <w:rPr>
          <w:b/>
          <w:bCs/>
        </w:rPr>
        <w:t>C</w:t>
      </w:r>
      <w:r w:rsidR="001E1502">
        <w:rPr>
          <w:b/>
        </w:rPr>
        <w:t xml:space="preserve"> and is trafficable.</w:t>
      </w:r>
    </w:p>
    <w:p w14:paraId="7BB5EC70" w14:textId="77777777" w:rsidR="00315ADF" w:rsidRPr="00315ADF" w:rsidRDefault="00315ADF" w:rsidP="00315ADF">
      <w:bookmarkStart w:id="1" w:name="_Hlk516218713"/>
    </w:p>
    <w:p w14:paraId="0D3C7815" w14:textId="77777777" w:rsidR="00315ADF" w:rsidRPr="00315ADF" w:rsidRDefault="00315ADF" w:rsidP="00315ADF"/>
    <w:p w14:paraId="63D7669D" w14:textId="77777777" w:rsidR="009C79BA" w:rsidRPr="009C79BA" w:rsidRDefault="00315ADF" w:rsidP="00315ADF">
      <w:pPr>
        <w:pStyle w:val="Heading3SS"/>
      </w:pPr>
      <w:r>
        <w:t>404.15</w:t>
      </w:r>
      <w:r>
        <w:tab/>
      </w:r>
      <w:r w:rsidRPr="00315ADF">
        <w:t>ACCEPTANCE OF COMPACTION ON A PROCEDURAL BASIS</w:t>
      </w:r>
    </w:p>
    <w:bookmarkEnd w:id="1"/>
    <w:p w14:paraId="59887C96" w14:textId="77777777" w:rsidR="00B77819" w:rsidRPr="00315ADF" w:rsidRDefault="009C79BA" w:rsidP="00315ADF">
      <w:pPr>
        <w:spacing w:before="200"/>
      </w:pPr>
      <w:r w:rsidRPr="00315ADF">
        <w:t>Where the specified layer thickness is less than 25</w:t>
      </w:r>
      <w:r w:rsidR="00315ADF">
        <w:t> </w:t>
      </w:r>
      <w:r w:rsidRPr="00315ADF">
        <w:t>mm acceptance of work for compaction can, where approved by the Superintendent</w:t>
      </w:r>
      <w:r w:rsidR="00315ADF">
        <w:t>,</w:t>
      </w:r>
      <w:r w:rsidRPr="00315ADF">
        <w:t xml:space="preserve"> be based on the adoption of approved placing procedures as outlined in the contractor’s quality plan, inspection and test plan as well as industry best </w:t>
      </w:r>
      <w:r w:rsidR="00315ADF">
        <w:t>practice documents including AS </w:t>
      </w:r>
      <w:r w:rsidRPr="00315ADF">
        <w:t>2150 – Hot mix asphalt.</w:t>
      </w:r>
      <w:r w:rsidR="00721133">
        <w:pict w14:anchorId="264CE81A">
          <v:shape id="_x0000_s1037" type="#_x0000_t202" style="position:absolute;margin-left:0;margin-top:779.65pt;width:481.9pt;height:36.85pt;z-index:-251657216;mso-wrap-distance-top:5.65pt;mso-position-horizontal:center;mso-position-horizontal-relative:page;mso-position-vertical-relative:page" stroked="f">
            <v:textbox style="mso-next-textbox:#_x0000_s1037" inset="0,,0">
              <w:txbxContent>
                <w:p w14:paraId="149673FB" w14:textId="77777777" w:rsidR="00B058D6" w:rsidRDefault="00B058D6" w:rsidP="001B55CA">
                  <w:pPr>
                    <w:pBdr>
                      <w:top w:val="single" w:sz="6" w:space="1" w:color="000000"/>
                    </w:pBdr>
                    <w:spacing w:line="60" w:lineRule="exact"/>
                    <w:jc w:val="right"/>
                    <w:rPr>
                      <w:b/>
                    </w:rPr>
                  </w:pPr>
                </w:p>
                <w:p w14:paraId="6AEC1A94" w14:textId="58828E74" w:rsidR="00B058D6" w:rsidRDefault="00B058D6" w:rsidP="001B55CA">
                  <w:pPr>
                    <w:pBdr>
                      <w:top w:val="single" w:sz="6" w:space="1" w:color="000000"/>
                    </w:pBdr>
                    <w:jc w:val="right"/>
                  </w:pPr>
                  <w:r>
                    <w:rPr>
                      <w:b/>
                    </w:rPr>
                    <w:t>©</w:t>
                  </w:r>
                  <w:r>
                    <w:t xml:space="preserve"> </w:t>
                  </w:r>
                  <w:r w:rsidR="00721133">
                    <w:t>Department of Transport</w:t>
                  </w:r>
                  <w:r>
                    <w:t xml:space="preserve">  </w:t>
                  </w:r>
                  <w:r w:rsidR="00E56973">
                    <w:t>August 2018</w:t>
                  </w:r>
                </w:p>
                <w:p w14:paraId="7EC49B05" w14:textId="77777777" w:rsidR="00B058D6" w:rsidRDefault="00B058D6" w:rsidP="001B55CA">
                  <w:pPr>
                    <w:jc w:val="right"/>
                  </w:pPr>
                  <w:r>
                    <w:t>Section 404 (Page 4 of 4)</w:t>
                  </w:r>
                </w:p>
                <w:p w14:paraId="577C0760" w14:textId="77777777" w:rsidR="00B058D6" w:rsidRDefault="00B058D6" w:rsidP="001B55CA">
                  <w:pPr>
                    <w:jc w:val="right"/>
                  </w:pPr>
                </w:p>
              </w:txbxContent>
            </v:textbox>
            <w10:wrap anchorx="page" anchory="page"/>
            <w10:anchorlock/>
          </v:shape>
        </w:pict>
      </w:r>
    </w:p>
    <w:sectPr w:rsidR="00B77819" w:rsidRPr="00315ADF" w:rsidSect="000D63E5">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0A30D" w14:textId="77777777" w:rsidR="00154DD1" w:rsidRDefault="00154DD1">
      <w:r>
        <w:separator/>
      </w:r>
    </w:p>
  </w:endnote>
  <w:endnote w:type="continuationSeparator" w:id="0">
    <w:p w14:paraId="43A53AA8" w14:textId="77777777" w:rsidR="00154DD1" w:rsidRDefault="0015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0EE41" w14:textId="77777777" w:rsidR="00154DD1" w:rsidRDefault="00154DD1">
      <w:r>
        <w:separator/>
      </w:r>
    </w:p>
  </w:footnote>
  <w:footnote w:type="continuationSeparator" w:id="0">
    <w:p w14:paraId="448D02B5" w14:textId="77777777" w:rsidR="00154DD1" w:rsidRDefault="0015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F710F" w14:textId="5DCFF410" w:rsidR="00B058D6" w:rsidRDefault="00721133">
    <w:pPr>
      <w:jc w:val="right"/>
    </w:pPr>
    <w:r>
      <w:t>Department of Transport</w:t>
    </w:r>
  </w:p>
  <w:p w14:paraId="7A614BE6" w14:textId="77777777" w:rsidR="00B058D6" w:rsidRDefault="00B058D6" w:rsidP="008E2C6D">
    <w:pPr>
      <w:pBdr>
        <w:top w:val="single" w:sz="8" w:space="1" w:color="auto"/>
      </w:pBdr>
      <w:spacing w:line="1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0FF3"/>
    <w:multiLevelType w:val="hybridMultilevel"/>
    <w:tmpl w:val="FCD883DE"/>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3E370994"/>
    <w:multiLevelType w:val="hybridMultilevel"/>
    <w:tmpl w:val="6BB81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 w15:restartNumberingAfterBreak="0">
    <w:nsid w:val="5B133CEE"/>
    <w:multiLevelType w:val="multilevel"/>
    <w:tmpl w:val="6D2ED808"/>
    <w:lvl w:ilvl="0">
      <w:start w:val="404"/>
      <w:numFmt w:val="decimal"/>
      <w:lvlText w:val="%1"/>
      <w:lvlJc w:val="left"/>
      <w:pPr>
        <w:ind w:left="585" w:hanging="585"/>
      </w:pPr>
    </w:lvl>
    <w:lvl w:ilvl="1">
      <w:start w:val="15"/>
      <w:numFmt w:val="decimal"/>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76795D26"/>
    <w:multiLevelType w:val="hybridMultilevel"/>
    <w:tmpl w:val="A11AC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D82E3F"/>
    <w:multiLevelType w:val="hybridMultilevel"/>
    <w:tmpl w:val="B3CC26A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3"/>
    <w:lvlOverride w:ilvl="0">
      <w:startOverride w:val="40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150"/>
    <w:rsid w:val="00004DF1"/>
    <w:rsid w:val="000158B5"/>
    <w:rsid w:val="00022886"/>
    <w:rsid w:val="000363F1"/>
    <w:rsid w:val="00057D8B"/>
    <w:rsid w:val="00060508"/>
    <w:rsid w:val="00076B2D"/>
    <w:rsid w:val="0009053A"/>
    <w:rsid w:val="000A3803"/>
    <w:rsid w:val="000B0C06"/>
    <w:rsid w:val="000C553A"/>
    <w:rsid w:val="000D63E5"/>
    <w:rsid w:val="00106E96"/>
    <w:rsid w:val="00127D05"/>
    <w:rsid w:val="00136982"/>
    <w:rsid w:val="0015064A"/>
    <w:rsid w:val="00152C2C"/>
    <w:rsid w:val="00154DD1"/>
    <w:rsid w:val="00156148"/>
    <w:rsid w:val="00176F08"/>
    <w:rsid w:val="00185778"/>
    <w:rsid w:val="001A7BE5"/>
    <w:rsid w:val="001B1DD1"/>
    <w:rsid w:val="001B55CA"/>
    <w:rsid w:val="001B5A00"/>
    <w:rsid w:val="001E1502"/>
    <w:rsid w:val="001E5FBF"/>
    <w:rsid w:val="002069E8"/>
    <w:rsid w:val="00210999"/>
    <w:rsid w:val="00232D75"/>
    <w:rsid w:val="002405C8"/>
    <w:rsid w:val="002420E8"/>
    <w:rsid w:val="002464D3"/>
    <w:rsid w:val="00250587"/>
    <w:rsid w:val="00281C46"/>
    <w:rsid w:val="002850FB"/>
    <w:rsid w:val="00286D57"/>
    <w:rsid w:val="002B198E"/>
    <w:rsid w:val="002B5544"/>
    <w:rsid w:val="002B619B"/>
    <w:rsid w:val="002B6B54"/>
    <w:rsid w:val="002F2C20"/>
    <w:rsid w:val="002F30E0"/>
    <w:rsid w:val="002F570E"/>
    <w:rsid w:val="00307A29"/>
    <w:rsid w:val="00314000"/>
    <w:rsid w:val="00314929"/>
    <w:rsid w:val="00315ADF"/>
    <w:rsid w:val="003206CE"/>
    <w:rsid w:val="00330508"/>
    <w:rsid w:val="00333E97"/>
    <w:rsid w:val="003405DE"/>
    <w:rsid w:val="00340BCD"/>
    <w:rsid w:val="00340C31"/>
    <w:rsid w:val="00344F77"/>
    <w:rsid w:val="00347E69"/>
    <w:rsid w:val="00351C20"/>
    <w:rsid w:val="00376193"/>
    <w:rsid w:val="00384DDE"/>
    <w:rsid w:val="00391977"/>
    <w:rsid w:val="003A3CB4"/>
    <w:rsid w:val="003E0425"/>
    <w:rsid w:val="003E4348"/>
    <w:rsid w:val="003F77BF"/>
    <w:rsid w:val="00413A5A"/>
    <w:rsid w:val="00424619"/>
    <w:rsid w:val="00425342"/>
    <w:rsid w:val="00444232"/>
    <w:rsid w:val="004445FF"/>
    <w:rsid w:val="00445B5E"/>
    <w:rsid w:val="00483752"/>
    <w:rsid w:val="004B30D6"/>
    <w:rsid w:val="004B687C"/>
    <w:rsid w:val="004C3DD4"/>
    <w:rsid w:val="004E54C9"/>
    <w:rsid w:val="004E7E8C"/>
    <w:rsid w:val="004F369D"/>
    <w:rsid w:val="004F41F3"/>
    <w:rsid w:val="004F526D"/>
    <w:rsid w:val="005066D0"/>
    <w:rsid w:val="00524DDD"/>
    <w:rsid w:val="0053505C"/>
    <w:rsid w:val="00537157"/>
    <w:rsid w:val="00540EF4"/>
    <w:rsid w:val="00541431"/>
    <w:rsid w:val="005518B2"/>
    <w:rsid w:val="00551CC4"/>
    <w:rsid w:val="005676E1"/>
    <w:rsid w:val="00577F01"/>
    <w:rsid w:val="0058154D"/>
    <w:rsid w:val="00587FE5"/>
    <w:rsid w:val="005932AE"/>
    <w:rsid w:val="005A1527"/>
    <w:rsid w:val="005B1798"/>
    <w:rsid w:val="005B68EE"/>
    <w:rsid w:val="005C0446"/>
    <w:rsid w:val="005C6A4A"/>
    <w:rsid w:val="005D1D52"/>
    <w:rsid w:val="00612296"/>
    <w:rsid w:val="00624133"/>
    <w:rsid w:val="00636F3B"/>
    <w:rsid w:val="00652C97"/>
    <w:rsid w:val="006906B3"/>
    <w:rsid w:val="006A4ABE"/>
    <w:rsid w:val="006D13AC"/>
    <w:rsid w:val="006E5BD9"/>
    <w:rsid w:val="00710B26"/>
    <w:rsid w:val="00714B86"/>
    <w:rsid w:val="00721133"/>
    <w:rsid w:val="00723941"/>
    <w:rsid w:val="00743045"/>
    <w:rsid w:val="00755121"/>
    <w:rsid w:val="00764B27"/>
    <w:rsid w:val="007A1B82"/>
    <w:rsid w:val="007B33C7"/>
    <w:rsid w:val="007C3144"/>
    <w:rsid w:val="007E6A13"/>
    <w:rsid w:val="007F43F6"/>
    <w:rsid w:val="008037A3"/>
    <w:rsid w:val="008041D3"/>
    <w:rsid w:val="00805FFD"/>
    <w:rsid w:val="008268D4"/>
    <w:rsid w:val="00827940"/>
    <w:rsid w:val="0084125A"/>
    <w:rsid w:val="008626E6"/>
    <w:rsid w:val="00864D4F"/>
    <w:rsid w:val="0087208F"/>
    <w:rsid w:val="0088299C"/>
    <w:rsid w:val="008871D8"/>
    <w:rsid w:val="00890CC6"/>
    <w:rsid w:val="0089164B"/>
    <w:rsid w:val="008A449C"/>
    <w:rsid w:val="008A6984"/>
    <w:rsid w:val="008B2792"/>
    <w:rsid w:val="008E2C6D"/>
    <w:rsid w:val="008F3F50"/>
    <w:rsid w:val="008F7C78"/>
    <w:rsid w:val="0090740F"/>
    <w:rsid w:val="009152B8"/>
    <w:rsid w:val="00920F4C"/>
    <w:rsid w:val="0092332A"/>
    <w:rsid w:val="00924CCE"/>
    <w:rsid w:val="00927587"/>
    <w:rsid w:val="00940436"/>
    <w:rsid w:val="0094131A"/>
    <w:rsid w:val="009A504E"/>
    <w:rsid w:val="009A6385"/>
    <w:rsid w:val="009A7252"/>
    <w:rsid w:val="009B4185"/>
    <w:rsid w:val="009C79BA"/>
    <w:rsid w:val="009E2705"/>
    <w:rsid w:val="009E3D43"/>
    <w:rsid w:val="009E5D19"/>
    <w:rsid w:val="00A15378"/>
    <w:rsid w:val="00A20AF2"/>
    <w:rsid w:val="00A27248"/>
    <w:rsid w:val="00A333FA"/>
    <w:rsid w:val="00A37B04"/>
    <w:rsid w:val="00A45F83"/>
    <w:rsid w:val="00AC1E31"/>
    <w:rsid w:val="00AC6A89"/>
    <w:rsid w:val="00AD6C71"/>
    <w:rsid w:val="00AD7702"/>
    <w:rsid w:val="00AE04A5"/>
    <w:rsid w:val="00AE04F8"/>
    <w:rsid w:val="00AE700F"/>
    <w:rsid w:val="00AF2E91"/>
    <w:rsid w:val="00AF50A7"/>
    <w:rsid w:val="00B00DC3"/>
    <w:rsid w:val="00B058D6"/>
    <w:rsid w:val="00B34788"/>
    <w:rsid w:val="00B36561"/>
    <w:rsid w:val="00B406B8"/>
    <w:rsid w:val="00B47312"/>
    <w:rsid w:val="00B741E0"/>
    <w:rsid w:val="00B77819"/>
    <w:rsid w:val="00B84715"/>
    <w:rsid w:val="00B87C1F"/>
    <w:rsid w:val="00B923FD"/>
    <w:rsid w:val="00B93AAE"/>
    <w:rsid w:val="00BA037E"/>
    <w:rsid w:val="00BA498E"/>
    <w:rsid w:val="00BC6DF7"/>
    <w:rsid w:val="00C024AF"/>
    <w:rsid w:val="00C025D0"/>
    <w:rsid w:val="00C11F10"/>
    <w:rsid w:val="00C3483F"/>
    <w:rsid w:val="00C40036"/>
    <w:rsid w:val="00C437FC"/>
    <w:rsid w:val="00C71514"/>
    <w:rsid w:val="00CA56B4"/>
    <w:rsid w:val="00CB65DD"/>
    <w:rsid w:val="00CC60F3"/>
    <w:rsid w:val="00CC692B"/>
    <w:rsid w:val="00CD0698"/>
    <w:rsid w:val="00CD1FF9"/>
    <w:rsid w:val="00CD5BCB"/>
    <w:rsid w:val="00D07286"/>
    <w:rsid w:val="00D108D0"/>
    <w:rsid w:val="00D15E63"/>
    <w:rsid w:val="00D173B7"/>
    <w:rsid w:val="00D21859"/>
    <w:rsid w:val="00D33F7D"/>
    <w:rsid w:val="00D510E0"/>
    <w:rsid w:val="00D54C76"/>
    <w:rsid w:val="00D7258A"/>
    <w:rsid w:val="00D93F1B"/>
    <w:rsid w:val="00DB06A7"/>
    <w:rsid w:val="00DC4F93"/>
    <w:rsid w:val="00DD0B6C"/>
    <w:rsid w:val="00DD15ED"/>
    <w:rsid w:val="00DD2E1D"/>
    <w:rsid w:val="00DE0D03"/>
    <w:rsid w:val="00DE12A0"/>
    <w:rsid w:val="00DE2835"/>
    <w:rsid w:val="00E061E7"/>
    <w:rsid w:val="00E27B21"/>
    <w:rsid w:val="00E35A86"/>
    <w:rsid w:val="00E41247"/>
    <w:rsid w:val="00E4510F"/>
    <w:rsid w:val="00E56973"/>
    <w:rsid w:val="00E95AF8"/>
    <w:rsid w:val="00EA2713"/>
    <w:rsid w:val="00EB20A6"/>
    <w:rsid w:val="00EC412E"/>
    <w:rsid w:val="00ED3922"/>
    <w:rsid w:val="00EE07EC"/>
    <w:rsid w:val="00EE3CDF"/>
    <w:rsid w:val="00EE3E49"/>
    <w:rsid w:val="00EE6509"/>
    <w:rsid w:val="00F17C1F"/>
    <w:rsid w:val="00F2262B"/>
    <w:rsid w:val="00F4381F"/>
    <w:rsid w:val="00F7466F"/>
    <w:rsid w:val="00F80150"/>
    <w:rsid w:val="00F92970"/>
    <w:rsid w:val="00F953F3"/>
    <w:rsid w:val="00F955F8"/>
    <w:rsid w:val="00FA28AC"/>
    <w:rsid w:val="00FA5C95"/>
    <w:rsid w:val="00FB0BE8"/>
    <w:rsid w:val="00FB212A"/>
    <w:rsid w:val="00FB2164"/>
    <w:rsid w:val="00FE2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praxa-com/sth" w:name="ST7"/>
  <w:shapeDefaults>
    <o:shapedefaults v:ext="edit" spidmax="5121"/>
    <o:shapelayout v:ext="edit">
      <o:idmap v:ext="edit" data="1"/>
    </o:shapelayout>
  </w:shapeDefaults>
  <w:decimalSymbol w:val="."/>
  <w:listSeparator w:val=","/>
  <w14:docId w14:val="30FE156C"/>
  <w15:chartTrackingRefBased/>
  <w15:docId w15:val="{68C9C278-2D80-4BBA-84E5-1788A16A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F50"/>
    <w:rPr>
      <w:rFonts w:ascii="Arial" w:hAnsi="Arial"/>
      <w:szCs w:val="24"/>
      <w:lang w:eastAsia="en-US"/>
    </w:rPr>
  </w:style>
  <w:style w:type="paragraph" w:styleId="Heading1">
    <w:name w:val="heading 1"/>
    <w:basedOn w:val="Normal"/>
    <w:next w:val="Normal"/>
    <w:qFormat/>
    <w:rsid w:val="009B4185"/>
    <w:pPr>
      <w:keepNext/>
      <w:outlineLvl w:val="0"/>
    </w:pPr>
    <w:rPr>
      <w:rFonts w:cs="Arial"/>
      <w:b/>
      <w:bCs/>
      <w:sz w:val="28"/>
      <w:szCs w:val="32"/>
    </w:rPr>
  </w:style>
  <w:style w:type="paragraph" w:styleId="Heading2">
    <w:name w:val="heading 2"/>
    <w:basedOn w:val="Normal"/>
    <w:next w:val="Normal"/>
    <w:qFormat/>
    <w:rsid w:val="009B4185"/>
    <w:pPr>
      <w:keepNext/>
      <w:outlineLvl w:val="1"/>
    </w:pPr>
    <w:rPr>
      <w:rFonts w:cs="Arial"/>
      <w:b/>
      <w:bCs/>
      <w:iCs/>
      <w:color w:val="000000"/>
      <w:sz w:val="28"/>
      <w:szCs w:val="28"/>
    </w:rPr>
  </w:style>
  <w:style w:type="paragraph" w:styleId="Heading3">
    <w:name w:val="heading 3"/>
    <w:basedOn w:val="Normal"/>
    <w:next w:val="Normal"/>
    <w:link w:val="Heading3Char"/>
    <w:qFormat/>
    <w:rsid w:val="009B4185"/>
    <w:pPr>
      <w:keepNext/>
      <w:numPr>
        <w:ilvl w:val="2"/>
        <w:numId w:val="11"/>
      </w:numPr>
      <w:outlineLvl w:val="2"/>
    </w:pPr>
    <w:rPr>
      <w:rFonts w:cs="Arial"/>
      <w:b/>
      <w:bCs/>
      <w:szCs w:val="26"/>
    </w:rPr>
  </w:style>
  <w:style w:type="paragraph" w:styleId="Heading4">
    <w:name w:val="heading 4"/>
    <w:basedOn w:val="Normal"/>
    <w:next w:val="Normal"/>
    <w:link w:val="Heading4Char"/>
    <w:qFormat/>
    <w:rsid w:val="009B4185"/>
    <w:pPr>
      <w:keepNext/>
      <w:numPr>
        <w:ilvl w:val="3"/>
        <w:numId w:val="11"/>
      </w:numPr>
      <w:spacing w:after="200"/>
      <w:outlineLvl w:val="3"/>
    </w:pPr>
    <w:rPr>
      <w:b/>
      <w:bCs/>
      <w:szCs w:val="28"/>
    </w:rPr>
  </w:style>
  <w:style w:type="paragraph" w:styleId="Heading5">
    <w:name w:val="heading 5"/>
    <w:basedOn w:val="Heading4"/>
    <w:next w:val="Normal"/>
    <w:qFormat/>
    <w:rsid w:val="009B4185"/>
    <w:pPr>
      <w:numPr>
        <w:ilvl w:val="4"/>
      </w:numPr>
      <w:outlineLvl w:val="4"/>
    </w:pPr>
    <w:rPr>
      <w:b w:val="0"/>
      <w:bCs w:val="0"/>
      <w:szCs w:val="22"/>
    </w:rPr>
  </w:style>
  <w:style w:type="paragraph" w:styleId="Heading6">
    <w:name w:val="heading 6"/>
    <w:basedOn w:val="Normal"/>
    <w:next w:val="Normal"/>
    <w:link w:val="Heading6Char"/>
    <w:qFormat/>
    <w:rsid w:val="009B4185"/>
    <w:pPr>
      <w:numPr>
        <w:ilvl w:val="5"/>
        <w:numId w:val="11"/>
      </w:numPr>
      <w:spacing w:after="200"/>
      <w:outlineLvl w:val="5"/>
    </w:pPr>
    <w:rPr>
      <w:bCs/>
      <w:szCs w:val="22"/>
    </w:rPr>
  </w:style>
  <w:style w:type="paragraph" w:styleId="Heading7">
    <w:name w:val="heading 7"/>
    <w:basedOn w:val="Normal"/>
    <w:next w:val="Normal"/>
    <w:qFormat/>
    <w:rsid w:val="009B4185"/>
    <w:pPr>
      <w:tabs>
        <w:tab w:val="left" w:pos="567"/>
      </w:tabs>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rsid w:val="00864D4F"/>
    <w:pPr>
      <w:shd w:val="clear" w:color="auto" w:fill="000080"/>
    </w:pPr>
    <w:rPr>
      <w:rFonts w:ascii="Comic Sans MS" w:hAnsi="Comic Sans MS" w:cs="Tahoma"/>
      <w:sz w:val="24"/>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Heading2SS">
    <w:name w:val="Heading 2 + SS"/>
    <w:basedOn w:val="Heading2"/>
    <w:rsid w:val="008E2C6D"/>
    <w:pPr>
      <w:keepNext w:val="0"/>
      <w:tabs>
        <w:tab w:val="left" w:pos="1985"/>
        <w:tab w:val="left" w:pos="2268"/>
      </w:tabs>
      <w:ind w:left="2268" w:hanging="2268"/>
    </w:pPr>
  </w:style>
  <w:style w:type="paragraph" w:customStyle="1" w:styleId="Heading3SS">
    <w:name w:val="Heading 3 + SS"/>
    <w:basedOn w:val="Heading3"/>
    <w:link w:val="Heading3SSChar"/>
    <w:rsid w:val="008E2C6D"/>
    <w:pPr>
      <w:keepNext w:val="0"/>
      <w:widowControl w:val="0"/>
      <w:numPr>
        <w:ilvl w:val="0"/>
        <w:numId w:val="0"/>
      </w:numPr>
      <w:tabs>
        <w:tab w:val="left" w:pos="851"/>
      </w:tabs>
      <w:ind w:left="851" w:hanging="851"/>
    </w:pPr>
  </w:style>
  <w:style w:type="character" w:customStyle="1" w:styleId="Heading3Char">
    <w:name w:val="Heading 3 Char"/>
    <w:link w:val="Heading3"/>
    <w:rsid w:val="009B4185"/>
    <w:rPr>
      <w:rFonts w:cs="Arial"/>
      <w:b/>
      <w:bCs/>
      <w:szCs w:val="26"/>
      <w:lang w:val="en-AU" w:eastAsia="en-US" w:bidi="ar-SA"/>
    </w:rPr>
  </w:style>
  <w:style w:type="character" w:customStyle="1" w:styleId="Heading3SSChar">
    <w:name w:val="Heading 3 + SS Char"/>
    <w:link w:val="Heading3SS"/>
    <w:rsid w:val="008E2C6D"/>
    <w:rPr>
      <w:rFonts w:ascii="Arial" w:hAnsi="Arial" w:cs="Arial"/>
      <w:b/>
      <w:bCs/>
      <w:szCs w:val="26"/>
      <w:lang w:val="en-AU" w:eastAsia="en-US" w:bidi="ar-SA"/>
    </w:rPr>
  </w:style>
  <w:style w:type="character" w:customStyle="1" w:styleId="Heading4Char">
    <w:name w:val="Heading 4 Char"/>
    <w:link w:val="Heading4"/>
    <w:rsid w:val="009B4185"/>
    <w:rPr>
      <w:b/>
      <w:bCs/>
      <w:szCs w:val="28"/>
      <w:lang w:val="en-AU" w:eastAsia="en-US" w:bidi="ar-SA"/>
    </w:rPr>
  </w:style>
  <w:style w:type="paragraph" w:customStyle="1" w:styleId="Heading5SS">
    <w:name w:val="Heading 5 +SS"/>
    <w:basedOn w:val="Heading5"/>
    <w:rsid w:val="008E2C6D"/>
    <w:pPr>
      <w:keepNext w:val="0"/>
      <w:numPr>
        <w:ilvl w:val="0"/>
        <w:numId w:val="0"/>
      </w:numPr>
      <w:tabs>
        <w:tab w:val="left" w:pos="425"/>
      </w:tabs>
      <w:spacing w:after="0"/>
      <w:ind w:left="425" w:hanging="425"/>
      <w:outlineLvl w:val="9"/>
    </w:pPr>
  </w:style>
  <w:style w:type="character" w:customStyle="1" w:styleId="Heading6Char">
    <w:name w:val="Heading 6 Char"/>
    <w:link w:val="Heading6"/>
    <w:rsid w:val="009B4185"/>
    <w:rPr>
      <w:bCs/>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656">
      <w:bodyDiv w:val="1"/>
      <w:marLeft w:val="0"/>
      <w:marRight w:val="0"/>
      <w:marTop w:val="0"/>
      <w:marBottom w:val="0"/>
      <w:divBdr>
        <w:top w:val="none" w:sz="0" w:space="0" w:color="auto"/>
        <w:left w:val="none" w:sz="0" w:space="0" w:color="auto"/>
        <w:bottom w:val="none" w:sz="0" w:space="0" w:color="auto"/>
        <w:right w:val="none" w:sz="0" w:space="0" w:color="auto"/>
      </w:divBdr>
    </w:div>
    <w:div w:id="326059767">
      <w:bodyDiv w:val="1"/>
      <w:marLeft w:val="0"/>
      <w:marRight w:val="0"/>
      <w:marTop w:val="0"/>
      <w:marBottom w:val="0"/>
      <w:divBdr>
        <w:top w:val="none" w:sz="0" w:space="0" w:color="auto"/>
        <w:left w:val="none" w:sz="0" w:space="0" w:color="auto"/>
        <w:bottom w:val="none" w:sz="0" w:space="0" w:color="auto"/>
        <w:right w:val="none" w:sz="0" w:space="0" w:color="auto"/>
      </w:divBdr>
    </w:div>
    <w:div w:id="355010570">
      <w:bodyDiv w:val="1"/>
      <w:marLeft w:val="0"/>
      <w:marRight w:val="0"/>
      <w:marTop w:val="0"/>
      <w:marBottom w:val="0"/>
      <w:divBdr>
        <w:top w:val="none" w:sz="0" w:space="0" w:color="auto"/>
        <w:left w:val="none" w:sz="0" w:space="0" w:color="auto"/>
        <w:bottom w:val="none" w:sz="0" w:space="0" w:color="auto"/>
        <w:right w:val="none" w:sz="0" w:space="0" w:color="auto"/>
      </w:divBdr>
    </w:div>
    <w:div w:id="568616942">
      <w:bodyDiv w:val="1"/>
      <w:marLeft w:val="0"/>
      <w:marRight w:val="0"/>
      <w:marTop w:val="0"/>
      <w:marBottom w:val="0"/>
      <w:divBdr>
        <w:top w:val="none" w:sz="0" w:space="0" w:color="auto"/>
        <w:left w:val="none" w:sz="0" w:space="0" w:color="auto"/>
        <w:bottom w:val="none" w:sz="0" w:space="0" w:color="auto"/>
        <w:right w:val="none" w:sz="0" w:space="0" w:color="auto"/>
      </w:divBdr>
    </w:div>
    <w:div w:id="782001597">
      <w:bodyDiv w:val="1"/>
      <w:marLeft w:val="0"/>
      <w:marRight w:val="0"/>
      <w:marTop w:val="0"/>
      <w:marBottom w:val="0"/>
      <w:divBdr>
        <w:top w:val="none" w:sz="0" w:space="0" w:color="auto"/>
        <w:left w:val="none" w:sz="0" w:space="0" w:color="auto"/>
        <w:bottom w:val="none" w:sz="0" w:space="0" w:color="auto"/>
        <w:right w:val="none" w:sz="0" w:space="0" w:color="auto"/>
      </w:divBdr>
    </w:div>
    <w:div w:id="783965416">
      <w:bodyDiv w:val="1"/>
      <w:marLeft w:val="0"/>
      <w:marRight w:val="0"/>
      <w:marTop w:val="0"/>
      <w:marBottom w:val="0"/>
      <w:divBdr>
        <w:top w:val="none" w:sz="0" w:space="0" w:color="auto"/>
        <w:left w:val="none" w:sz="0" w:space="0" w:color="auto"/>
        <w:bottom w:val="none" w:sz="0" w:space="0" w:color="auto"/>
        <w:right w:val="none" w:sz="0" w:space="0" w:color="auto"/>
      </w:divBdr>
    </w:div>
    <w:div w:id="819421990">
      <w:bodyDiv w:val="1"/>
      <w:marLeft w:val="0"/>
      <w:marRight w:val="0"/>
      <w:marTop w:val="0"/>
      <w:marBottom w:val="0"/>
      <w:divBdr>
        <w:top w:val="none" w:sz="0" w:space="0" w:color="auto"/>
        <w:left w:val="none" w:sz="0" w:space="0" w:color="auto"/>
        <w:bottom w:val="none" w:sz="0" w:space="0" w:color="auto"/>
        <w:right w:val="none" w:sz="0" w:space="0" w:color="auto"/>
      </w:divBdr>
    </w:div>
    <w:div w:id="1128472413">
      <w:bodyDiv w:val="1"/>
      <w:marLeft w:val="0"/>
      <w:marRight w:val="0"/>
      <w:marTop w:val="0"/>
      <w:marBottom w:val="0"/>
      <w:divBdr>
        <w:top w:val="none" w:sz="0" w:space="0" w:color="auto"/>
        <w:left w:val="none" w:sz="0" w:space="0" w:color="auto"/>
        <w:bottom w:val="none" w:sz="0" w:space="0" w:color="auto"/>
        <w:right w:val="none" w:sz="0" w:space="0" w:color="auto"/>
      </w:divBdr>
    </w:div>
    <w:div w:id="1229849054">
      <w:bodyDiv w:val="1"/>
      <w:marLeft w:val="0"/>
      <w:marRight w:val="0"/>
      <w:marTop w:val="0"/>
      <w:marBottom w:val="0"/>
      <w:divBdr>
        <w:top w:val="none" w:sz="0" w:space="0" w:color="auto"/>
        <w:left w:val="none" w:sz="0" w:space="0" w:color="auto"/>
        <w:bottom w:val="none" w:sz="0" w:space="0" w:color="auto"/>
        <w:right w:val="none" w:sz="0" w:space="0" w:color="auto"/>
      </w:divBdr>
    </w:div>
    <w:div w:id="1330334044">
      <w:bodyDiv w:val="1"/>
      <w:marLeft w:val="0"/>
      <w:marRight w:val="0"/>
      <w:marTop w:val="0"/>
      <w:marBottom w:val="0"/>
      <w:divBdr>
        <w:top w:val="none" w:sz="0" w:space="0" w:color="auto"/>
        <w:left w:val="none" w:sz="0" w:space="0" w:color="auto"/>
        <w:bottom w:val="none" w:sz="0" w:space="0" w:color="auto"/>
        <w:right w:val="none" w:sz="0" w:space="0" w:color="auto"/>
      </w:divBdr>
    </w:div>
    <w:div w:id="1467159031">
      <w:bodyDiv w:val="1"/>
      <w:marLeft w:val="0"/>
      <w:marRight w:val="0"/>
      <w:marTop w:val="0"/>
      <w:marBottom w:val="0"/>
      <w:divBdr>
        <w:top w:val="none" w:sz="0" w:space="0" w:color="auto"/>
        <w:left w:val="none" w:sz="0" w:space="0" w:color="auto"/>
        <w:bottom w:val="none" w:sz="0" w:space="0" w:color="auto"/>
        <w:right w:val="none" w:sz="0" w:space="0" w:color="auto"/>
      </w:divBdr>
    </w:div>
    <w:div w:id="1534002830">
      <w:bodyDiv w:val="1"/>
      <w:marLeft w:val="0"/>
      <w:marRight w:val="0"/>
      <w:marTop w:val="0"/>
      <w:marBottom w:val="0"/>
      <w:divBdr>
        <w:top w:val="none" w:sz="0" w:space="0" w:color="auto"/>
        <w:left w:val="none" w:sz="0" w:space="0" w:color="auto"/>
        <w:bottom w:val="none" w:sz="0" w:space="0" w:color="auto"/>
        <w:right w:val="none" w:sz="0" w:space="0" w:color="auto"/>
      </w:divBdr>
    </w:div>
    <w:div w:id="1541893975">
      <w:bodyDiv w:val="1"/>
      <w:marLeft w:val="0"/>
      <w:marRight w:val="0"/>
      <w:marTop w:val="0"/>
      <w:marBottom w:val="0"/>
      <w:divBdr>
        <w:top w:val="none" w:sz="0" w:space="0" w:color="auto"/>
        <w:left w:val="none" w:sz="0" w:space="0" w:color="auto"/>
        <w:bottom w:val="none" w:sz="0" w:space="0" w:color="auto"/>
        <w:right w:val="none" w:sz="0" w:space="0" w:color="auto"/>
      </w:divBdr>
    </w:div>
    <w:div w:id="1637753791">
      <w:bodyDiv w:val="1"/>
      <w:marLeft w:val="0"/>
      <w:marRight w:val="0"/>
      <w:marTop w:val="0"/>
      <w:marBottom w:val="0"/>
      <w:divBdr>
        <w:top w:val="none" w:sz="0" w:space="0" w:color="auto"/>
        <w:left w:val="none" w:sz="0" w:space="0" w:color="auto"/>
        <w:bottom w:val="none" w:sz="0" w:space="0" w:color="auto"/>
        <w:right w:val="none" w:sz="0" w:space="0" w:color="auto"/>
      </w:divBdr>
    </w:div>
    <w:div w:id="1672374364">
      <w:bodyDiv w:val="1"/>
      <w:marLeft w:val="0"/>
      <w:marRight w:val="0"/>
      <w:marTop w:val="0"/>
      <w:marBottom w:val="0"/>
      <w:divBdr>
        <w:top w:val="none" w:sz="0" w:space="0" w:color="auto"/>
        <w:left w:val="none" w:sz="0" w:space="0" w:color="auto"/>
        <w:bottom w:val="none" w:sz="0" w:space="0" w:color="auto"/>
        <w:right w:val="none" w:sz="0" w:space="0" w:color="auto"/>
      </w:divBdr>
    </w:div>
    <w:div w:id="1682703957">
      <w:bodyDiv w:val="1"/>
      <w:marLeft w:val="0"/>
      <w:marRight w:val="0"/>
      <w:marTop w:val="0"/>
      <w:marBottom w:val="0"/>
      <w:divBdr>
        <w:top w:val="none" w:sz="0" w:space="0" w:color="auto"/>
        <w:left w:val="none" w:sz="0" w:space="0" w:color="auto"/>
        <w:bottom w:val="none" w:sz="0" w:space="0" w:color="auto"/>
        <w:right w:val="none" w:sz="0" w:space="0" w:color="auto"/>
      </w:divBdr>
    </w:div>
    <w:div w:id="1701735906">
      <w:bodyDiv w:val="1"/>
      <w:marLeft w:val="0"/>
      <w:marRight w:val="0"/>
      <w:marTop w:val="0"/>
      <w:marBottom w:val="0"/>
      <w:divBdr>
        <w:top w:val="none" w:sz="0" w:space="0" w:color="auto"/>
        <w:left w:val="none" w:sz="0" w:space="0" w:color="auto"/>
        <w:bottom w:val="none" w:sz="0" w:space="0" w:color="auto"/>
        <w:right w:val="none" w:sz="0" w:space="0" w:color="auto"/>
      </w:divBdr>
    </w:div>
    <w:div w:id="1760559787">
      <w:bodyDiv w:val="1"/>
      <w:marLeft w:val="0"/>
      <w:marRight w:val="0"/>
      <w:marTop w:val="0"/>
      <w:marBottom w:val="0"/>
      <w:divBdr>
        <w:top w:val="none" w:sz="0" w:space="0" w:color="auto"/>
        <w:left w:val="none" w:sz="0" w:space="0" w:color="auto"/>
        <w:bottom w:val="none" w:sz="0" w:space="0" w:color="auto"/>
        <w:right w:val="none" w:sz="0" w:space="0" w:color="auto"/>
      </w:divBdr>
    </w:div>
    <w:div w:id="17981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404</vt:lpstr>
    </vt:vector>
  </TitlesOfParts>
  <Company>VicRoads</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Stone Mastic Asphalt</dc:subject>
  <dc:creator>VicRoads</dc:creator>
  <cp:keywords/>
  <dc:description/>
  <cp:lastModifiedBy>Robyn Robb</cp:lastModifiedBy>
  <cp:revision>3</cp:revision>
  <cp:lastPrinted>2018-08-28T06:47:00Z</cp:lastPrinted>
  <dcterms:created xsi:type="dcterms:W3CDTF">2019-12-04T23:03:00Z</dcterms:created>
  <dcterms:modified xsi:type="dcterms:W3CDTF">2021-03-02T05:55:00Z</dcterms:modified>
</cp:coreProperties>
</file>